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7AA4D" w14:textId="449466DC" w:rsidR="00C16630" w:rsidRPr="00C16630" w:rsidRDefault="00C16630" w:rsidP="00C16630">
      <w:pPr>
        <w:jc w:val="right"/>
        <w:rPr>
          <w:sz w:val="16"/>
          <w:szCs w:val="16"/>
        </w:rPr>
      </w:pPr>
      <w:r w:rsidRPr="00C16630">
        <w:rPr>
          <w:sz w:val="16"/>
          <w:szCs w:val="16"/>
        </w:rPr>
        <w:t xml:space="preserve">Version de </w:t>
      </w:r>
      <w:r w:rsidR="004369C7">
        <w:rPr>
          <w:sz w:val="16"/>
          <w:szCs w:val="16"/>
        </w:rPr>
        <w:t xml:space="preserve">novembre </w:t>
      </w:r>
      <w:r w:rsidRPr="00C16630">
        <w:rPr>
          <w:sz w:val="16"/>
          <w:szCs w:val="16"/>
        </w:rPr>
        <w:t>202</w:t>
      </w:r>
      <w:r w:rsidR="004417A6">
        <w:rPr>
          <w:sz w:val="16"/>
          <w:szCs w:val="16"/>
        </w:rPr>
        <w:t>5</w:t>
      </w:r>
      <w:r w:rsidR="004369C7">
        <w:rPr>
          <w:sz w:val="16"/>
          <w:szCs w:val="16"/>
        </w:rPr>
        <w:t xml:space="preserve"> </w:t>
      </w:r>
    </w:p>
    <w:p w14:paraId="3821337A" w14:textId="6DC9450B" w:rsidR="00C16630" w:rsidRPr="006D034F" w:rsidRDefault="00C16630" w:rsidP="00C16630">
      <w:pPr>
        <w:rPr>
          <w:b/>
          <w:bCs/>
          <w:color w:val="FF9900"/>
          <w:sz w:val="44"/>
          <w:szCs w:val="44"/>
        </w:rPr>
      </w:pPr>
      <w:r w:rsidRPr="00CC4AC1">
        <w:rPr>
          <w:rFonts w:cs="Arial"/>
          <w:b/>
          <w:noProof/>
          <w:color w:val="FF3300"/>
          <w:lang w:eastAsia="fr-FR"/>
        </w:rPr>
        <w:drawing>
          <wp:inline distT="0" distB="0" distL="0" distR="0" wp14:anchorId="130F23C6" wp14:editId="19BC3A02">
            <wp:extent cx="910802" cy="895350"/>
            <wp:effectExtent l="0" t="0" r="3810" b="0"/>
            <wp:docPr id="1" name="Image 1" descr="Une image contenant Police, symbole, tex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symbole, texte,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2832" cy="926837"/>
                    </a:xfrm>
                    <a:prstGeom prst="rect">
                      <a:avLst/>
                    </a:prstGeom>
                  </pic:spPr>
                </pic:pic>
              </a:graphicData>
            </a:graphic>
          </wp:inline>
        </w:drawing>
      </w:r>
      <w:r w:rsidRPr="00CC4AC1">
        <w:rPr>
          <w:b/>
          <w:bCs/>
          <w:color w:val="FF3300"/>
          <w:sz w:val="40"/>
          <w:szCs w:val="40"/>
        </w:rPr>
        <w:tab/>
      </w:r>
      <w:r w:rsidRPr="00CC4AC1">
        <w:rPr>
          <w:b/>
          <w:bCs/>
          <w:color w:val="FF3300"/>
          <w:sz w:val="40"/>
          <w:szCs w:val="40"/>
        </w:rPr>
        <w:tab/>
      </w:r>
      <w:r w:rsidRPr="00CC4AC1">
        <w:rPr>
          <w:b/>
          <w:bCs/>
          <w:color w:val="FF3300"/>
          <w:sz w:val="40"/>
          <w:szCs w:val="40"/>
        </w:rPr>
        <w:tab/>
      </w:r>
      <w:r w:rsidRPr="006D034F">
        <w:rPr>
          <w:b/>
          <w:bCs/>
          <w:color w:val="FF9900"/>
          <w:sz w:val="44"/>
          <w:szCs w:val="44"/>
        </w:rPr>
        <w:t xml:space="preserve">Demande </w:t>
      </w:r>
      <w:r w:rsidR="00A255A6" w:rsidRPr="006D034F">
        <w:rPr>
          <w:b/>
          <w:bCs/>
          <w:color w:val="FF9900"/>
          <w:sz w:val="44"/>
          <w:szCs w:val="44"/>
        </w:rPr>
        <w:t>de labellisation</w:t>
      </w:r>
    </w:p>
    <w:p w14:paraId="6FD661BA" w14:textId="093C88D4" w:rsidR="00C16630" w:rsidRPr="006D034F" w:rsidRDefault="00C16630" w:rsidP="00C16630">
      <w:pPr>
        <w:ind w:left="2832" w:firstLine="708"/>
        <w:rPr>
          <w:b/>
          <w:bCs/>
          <w:color w:val="FF9900"/>
          <w:sz w:val="44"/>
          <w:szCs w:val="44"/>
        </w:rPr>
      </w:pPr>
      <w:r w:rsidRPr="006D034F">
        <w:rPr>
          <w:b/>
          <w:bCs/>
          <w:color w:val="FF9900"/>
          <w:sz w:val="44"/>
          <w:szCs w:val="44"/>
        </w:rPr>
        <w:t>LABEL EUR-ACE seul</w:t>
      </w:r>
    </w:p>
    <w:p w14:paraId="31320941" w14:textId="3B5CC3B3" w:rsidR="00C16630" w:rsidRPr="006D034F" w:rsidRDefault="00C16630" w:rsidP="00C16630">
      <w:pPr>
        <w:ind w:left="2832" w:firstLine="708"/>
        <w:rPr>
          <w:b/>
          <w:bCs/>
          <w:color w:val="FF9900"/>
          <w:sz w:val="44"/>
          <w:szCs w:val="44"/>
        </w:rPr>
      </w:pPr>
      <w:r w:rsidRPr="006D034F">
        <w:rPr>
          <w:b/>
          <w:bCs/>
          <w:color w:val="FF9900"/>
          <w:sz w:val="44"/>
          <w:szCs w:val="44"/>
        </w:rPr>
        <w:t>Rapport d’auto-évaluation</w:t>
      </w:r>
    </w:p>
    <w:p w14:paraId="0CCF29EF" w14:textId="6CC0A4BC" w:rsidR="00C16630" w:rsidRDefault="00C16630" w:rsidP="00386B84">
      <w:pPr>
        <w:rPr>
          <w:b/>
          <w:bCs/>
        </w:rPr>
      </w:pPr>
    </w:p>
    <w:p w14:paraId="09226F8C" w14:textId="77777777" w:rsidR="00A36E9A" w:rsidRPr="00A36E9A" w:rsidRDefault="00A36E9A" w:rsidP="00A36E9A">
      <w:pPr>
        <w:rPr>
          <w:b/>
          <w:bCs/>
        </w:rPr>
      </w:pPr>
    </w:p>
    <w:p w14:paraId="091E0C34" w14:textId="77777777" w:rsidR="00A36E9A" w:rsidRPr="00A36E9A" w:rsidRDefault="00A36E9A" w:rsidP="00A36E9A">
      <w:pPr>
        <w:rPr>
          <w:b/>
          <w:bCs/>
        </w:rPr>
      </w:pPr>
    </w:p>
    <w:p w14:paraId="60C6DF29" w14:textId="77777777" w:rsidR="00A36E9A" w:rsidRPr="00BC37B4" w:rsidRDefault="00A36E9A" w:rsidP="00DD5236">
      <w:pPr>
        <w:pStyle w:val="Sansinterligne"/>
        <w:rPr>
          <w:b/>
          <w:bCs/>
          <w:sz w:val="36"/>
          <w:szCs w:val="36"/>
        </w:rPr>
      </w:pPr>
      <w:r w:rsidRPr="00BC37B4">
        <w:rPr>
          <w:b/>
          <w:bCs/>
          <w:sz w:val="36"/>
          <w:szCs w:val="36"/>
        </w:rPr>
        <w:t xml:space="preserve">[Nom complet officiel de l’établissement </w:t>
      </w:r>
    </w:p>
    <w:p w14:paraId="486C118B" w14:textId="77777777" w:rsidR="00A36E9A" w:rsidRPr="00BC37B4" w:rsidRDefault="00A36E9A" w:rsidP="00DD5236">
      <w:pPr>
        <w:pStyle w:val="Sansinterligne"/>
        <w:rPr>
          <w:b/>
          <w:bCs/>
          <w:sz w:val="36"/>
          <w:szCs w:val="36"/>
        </w:rPr>
      </w:pPr>
      <w:r w:rsidRPr="00BC37B4">
        <w:rPr>
          <w:b/>
          <w:bCs/>
          <w:sz w:val="36"/>
          <w:szCs w:val="36"/>
        </w:rPr>
        <w:t>(entité ayant la personnalité morale et juridique)]</w:t>
      </w:r>
    </w:p>
    <w:p w14:paraId="74E9DFAE" w14:textId="77777777" w:rsidR="00A36E9A" w:rsidRPr="00A36E9A" w:rsidRDefault="00A36E9A" w:rsidP="00A36E9A">
      <w:pPr>
        <w:rPr>
          <w:b/>
          <w:bCs/>
          <w:sz w:val="36"/>
          <w:szCs w:val="36"/>
        </w:rPr>
      </w:pPr>
    </w:p>
    <w:p w14:paraId="4B36FC6A" w14:textId="77777777" w:rsidR="00A36E9A" w:rsidRPr="00BC37B4" w:rsidRDefault="00A36E9A" w:rsidP="00A36E9A">
      <w:pPr>
        <w:rPr>
          <w:b/>
          <w:bCs/>
          <w:sz w:val="36"/>
          <w:szCs w:val="36"/>
        </w:rPr>
      </w:pPr>
      <w:r w:rsidRPr="00A36E9A">
        <w:rPr>
          <w:b/>
          <w:bCs/>
          <w:sz w:val="36"/>
          <w:szCs w:val="36"/>
        </w:rPr>
        <w:t>[(si différent) : Nom complet officiel de l’école/l'institution d'enseignement supérieur/le département de l'université qui opère les formations candidates (Nommé "école" dans la suite du document)]</w:t>
      </w:r>
    </w:p>
    <w:p w14:paraId="177E3F0F" w14:textId="77777777" w:rsidR="00A36E9A" w:rsidRPr="00A36E9A" w:rsidRDefault="00A36E9A" w:rsidP="00A36E9A">
      <w:pPr>
        <w:rPr>
          <w:b/>
          <w:bCs/>
          <w:sz w:val="36"/>
          <w:szCs w:val="36"/>
        </w:rPr>
      </w:pPr>
      <w:r w:rsidRPr="00A36E9A">
        <w:rPr>
          <w:b/>
          <w:bCs/>
          <w:sz w:val="36"/>
          <w:szCs w:val="36"/>
        </w:rPr>
        <w:t>[Acronyme officiel de l’école]</w:t>
      </w:r>
    </w:p>
    <w:p w14:paraId="6145E00A" w14:textId="77777777" w:rsidR="00A36E9A" w:rsidRPr="00A36E9A" w:rsidRDefault="00A36E9A" w:rsidP="00A36E9A">
      <w:pPr>
        <w:rPr>
          <w:b/>
          <w:bCs/>
          <w:sz w:val="36"/>
          <w:szCs w:val="36"/>
        </w:rPr>
      </w:pPr>
      <w:r w:rsidRPr="00A36E9A">
        <w:rPr>
          <w:b/>
          <w:bCs/>
          <w:sz w:val="36"/>
          <w:szCs w:val="36"/>
        </w:rPr>
        <w:t>[Adresse]</w:t>
      </w:r>
    </w:p>
    <w:p w14:paraId="50B0C54F" w14:textId="77777777" w:rsidR="00A36E9A" w:rsidRDefault="00A36E9A" w:rsidP="00A36E9A">
      <w:pPr>
        <w:rPr>
          <w:b/>
          <w:bCs/>
        </w:rPr>
      </w:pPr>
    </w:p>
    <w:p w14:paraId="532FADFD" w14:textId="77777777" w:rsidR="00517701" w:rsidRDefault="00517701" w:rsidP="00A36E9A">
      <w:pPr>
        <w:rPr>
          <w:b/>
          <w:bCs/>
        </w:rPr>
      </w:pPr>
    </w:p>
    <w:p w14:paraId="1F3ADAD1" w14:textId="77777777" w:rsidR="00517701" w:rsidRPr="00A36E9A" w:rsidRDefault="00517701" w:rsidP="00A36E9A">
      <w:pPr>
        <w:rPr>
          <w:b/>
          <w:bCs/>
        </w:rPr>
      </w:pPr>
    </w:p>
    <w:p w14:paraId="518D90FB" w14:textId="708B351A" w:rsidR="00A36E9A" w:rsidRPr="00A36E9A" w:rsidRDefault="00A36E9A" w:rsidP="00A36E9A">
      <w:pPr>
        <w:rPr>
          <w:b/>
          <w:bCs/>
        </w:rPr>
      </w:pPr>
      <w:r w:rsidRPr="00A36E9A">
        <w:rPr>
          <w:b/>
          <w:bCs/>
        </w:rPr>
        <w:t xml:space="preserve">Date </w:t>
      </w:r>
      <w:r w:rsidR="00517701">
        <w:rPr>
          <w:b/>
          <w:bCs/>
        </w:rPr>
        <w:t xml:space="preserve">d’envoi du dossier de recevabilité : </w:t>
      </w:r>
      <w:r w:rsidR="00BE2B7D">
        <w:rPr>
          <w:b/>
          <w:bCs/>
        </w:rPr>
        <w:t>(mois/année)</w:t>
      </w:r>
    </w:p>
    <w:p w14:paraId="3EFFE166" w14:textId="71557C38" w:rsidR="00A36E9A" w:rsidRPr="00A36E9A" w:rsidRDefault="00517701" w:rsidP="00A36E9A">
      <w:pPr>
        <w:rPr>
          <w:b/>
          <w:bCs/>
        </w:rPr>
      </w:pPr>
      <w:r>
        <w:rPr>
          <w:b/>
          <w:bCs/>
        </w:rPr>
        <w:t xml:space="preserve">Date d’envoi du RAE : </w:t>
      </w:r>
      <w:r w:rsidR="00BE2B7D">
        <w:rPr>
          <w:b/>
          <w:bCs/>
        </w:rPr>
        <w:t>(mois/ année)</w:t>
      </w:r>
    </w:p>
    <w:p w14:paraId="7976D553" w14:textId="77777777" w:rsidR="00A36E9A" w:rsidRPr="00A36E9A" w:rsidRDefault="00A36E9A" w:rsidP="00A36E9A">
      <w:pPr>
        <w:rPr>
          <w:b/>
          <w:bCs/>
        </w:rPr>
      </w:pPr>
    </w:p>
    <w:p w14:paraId="7399A1BA" w14:textId="77777777" w:rsidR="00654D3A" w:rsidRDefault="00654D3A">
      <w:pPr>
        <w:rPr>
          <w:b/>
          <w:iCs/>
          <w:sz w:val="32"/>
          <w:szCs w:val="32"/>
        </w:rPr>
      </w:pPr>
      <w:r>
        <w:rPr>
          <w:b/>
          <w:iCs/>
          <w:sz w:val="32"/>
          <w:szCs w:val="32"/>
        </w:rPr>
        <w:br w:type="page"/>
      </w:r>
    </w:p>
    <w:p w14:paraId="08D2DC0F" w14:textId="7508F486" w:rsidR="004815F9" w:rsidRPr="006F4C1C" w:rsidRDefault="004815F9" w:rsidP="004815F9">
      <w:pPr>
        <w:pBdr>
          <w:bottom w:val="single" w:sz="4" w:space="1" w:color="auto"/>
        </w:pBdr>
        <w:spacing w:after="0"/>
        <w:jc w:val="both"/>
        <w:rPr>
          <w:b/>
          <w:iCs/>
          <w:sz w:val="32"/>
          <w:szCs w:val="32"/>
        </w:rPr>
      </w:pPr>
      <w:r w:rsidRPr="006F4C1C">
        <w:rPr>
          <w:b/>
          <w:iCs/>
          <w:sz w:val="32"/>
          <w:szCs w:val="32"/>
        </w:rPr>
        <w:lastRenderedPageBreak/>
        <w:t>Indications</w:t>
      </w:r>
    </w:p>
    <w:p w14:paraId="1C50E7EB" w14:textId="77777777" w:rsidR="004815F9" w:rsidRDefault="004815F9" w:rsidP="004815F9">
      <w:pPr>
        <w:tabs>
          <w:tab w:val="left" w:pos="142"/>
        </w:tabs>
        <w:rPr>
          <w:spacing w:val="3"/>
        </w:rPr>
      </w:pPr>
    </w:p>
    <w:p w14:paraId="732EAC61" w14:textId="538CF078" w:rsidR="00F85809" w:rsidRDefault="00E276ED" w:rsidP="004815F9">
      <w:pPr>
        <w:tabs>
          <w:tab w:val="left" w:pos="142"/>
        </w:tabs>
        <w:rPr>
          <w:spacing w:val="3"/>
        </w:rPr>
      </w:pPr>
      <w:r>
        <w:rPr>
          <w:spacing w:val="3"/>
        </w:rPr>
        <w:t xml:space="preserve">Pour rappel, toute </w:t>
      </w:r>
      <w:r w:rsidR="00800532">
        <w:rPr>
          <w:spacing w:val="3"/>
        </w:rPr>
        <w:t xml:space="preserve">nouvelle </w:t>
      </w:r>
      <w:r>
        <w:rPr>
          <w:spacing w:val="3"/>
        </w:rPr>
        <w:t xml:space="preserve">demande d’attribution du Label EUR-ACE </w:t>
      </w:r>
      <w:r w:rsidR="00653FBD">
        <w:rPr>
          <w:spacing w:val="3"/>
        </w:rPr>
        <w:t xml:space="preserve">commence par </w:t>
      </w:r>
      <w:r w:rsidR="000E7466">
        <w:rPr>
          <w:spacing w:val="3"/>
        </w:rPr>
        <w:t xml:space="preserve">une </w:t>
      </w:r>
      <w:r w:rsidR="000E7466" w:rsidRPr="00720B53">
        <w:rPr>
          <w:b/>
          <w:bCs/>
          <w:spacing w:val="3"/>
        </w:rPr>
        <w:t>demande de recevabilité</w:t>
      </w:r>
      <w:r w:rsidR="000E7466">
        <w:rPr>
          <w:spacing w:val="3"/>
        </w:rPr>
        <w:t xml:space="preserve"> </w:t>
      </w:r>
      <w:r w:rsidR="00253C61">
        <w:rPr>
          <w:spacing w:val="3"/>
        </w:rPr>
        <w:t>pour laquelle l’établissement a reçu une décision positive</w:t>
      </w:r>
      <w:r w:rsidR="00720B53">
        <w:rPr>
          <w:spacing w:val="3"/>
        </w:rPr>
        <w:t xml:space="preserve"> de la commission interne de la CTI. </w:t>
      </w:r>
    </w:p>
    <w:p w14:paraId="674A64D6" w14:textId="6E3BB7FB" w:rsidR="00896FBB" w:rsidRDefault="00E276ED" w:rsidP="004815F9">
      <w:pPr>
        <w:tabs>
          <w:tab w:val="left" w:pos="142"/>
        </w:tabs>
        <w:rPr>
          <w:spacing w:val="3"/>
        </w:rPr>
      </w:pPr>
      <w:r w:rsidRPr="00E276ED">
        <w:rPr>
          <w:spacing w:val="3"/>
        </w:rPr>
        <w:t xml:space="preserve">Les procédures d’évaluation sont autant que possible effectuées en coordination avec les agences d’assurance qualité du pays de l’institution demandeuse (le cas échéant), ou dans le cadre d’accords de reconnaissance mutuelle (EUR-ACE® accord d’ENAEE, etc.). </w:t>
      </w:r>
    </w:p>
    <w:p w14:paraId="492DEACC" w14:textId="77777777" w:rsidR="00896FBB" w:rsidRDefault="00896FBB" w:rsidP="004815F9">
      <w:pPr>
        <w:tabs>
          <w:tab w:val="left" w:pos="142"/>
        </w:tabs>
        <w:rPr>
          <w:spacing w:val="3"/>
        </w:rPr>
      </w:pPr>
    </w:p>
    <w:p w14:paraId="2F3243D8" w14:textId="61032064" w:rsidR="0041500A" w:rsidRPr="008E5300" w:rsidRDefault="0041500A" w:rsidP="004815F9">
      <w:pPr>
        <w:tabs>
          <w:tab w:val="left" w:pos="142"/>
        </w:tabs>
        <w:rPr>
          <w:b/>
          <w:bCs/>
          <w:spacing w:val="3"/>
        </w:rPr>
      </w:pPr>
      <w:r w:rsidRPr="008E5300">
        <w:rPr>
          <w:b/>
          <w:bCs/>
          <w:spacing w:val="3"/>
        </w:rPr>
        <w:t>Procédure</w:t>
      </w:r>
    </w:p>
    <w:p w14:paraId="0FBABDAD" w14:textId="461156AE" w:rsidR="00BD10B9" w:rsidRDefault="00BD10B9" w:rsidP="004815F9">
      <w:pPr>
        <w:tabs>
          <w:tab w:val="left" w:pos="142"/>
        </w:tabs>
        <w:rPr>
          <w:spacing w:val="3"/>
        </w:rPr>
      </w:pPr>
      <w:r>
        <w:rPr>
          <w:spacing w:val="3"/>
        </w:rPr>
        <w:t xml:space="preserve">La procédure </w:t>
      </w:r>
      <w:r w:rsidR="00076338">
        <w:rPr>
          <w:spacing w:val="3"/>
        </w:rPr>
        <w:t xml:space="preserve">d’attribution suit </w:t>
      </w:r>
      <w:r w:rsidR="00004FF6">
        <w:rPr>
          <w:spacing w:val="3"/>
        </w:rPr>
        <w:t>les étapes suivantes :</w:t>
      </w:r>
    </w:p>
    <w:p w14:paraId="109AB328" w14:textId="2C35E637" w:rsidR="0057243A" w:rsidRPr="00F143D8" w:rsidRDefault="007B63FD" w:rsidP="00F143D8">
      <w:pPr>
        <w:pStyle w:val="Paragraphedeliste"/>
        <w:numPr>
          <w:ilvl w:val="0"/>
          <w:numId w:val="4"/>
        </w:numPr>
        <w:tabs>
          <w:tab w:val="left" w:pos="142"/>
        </w:tabs>
        <w:rPr>
          <w:spacing w:val="3"/>
        </w:rPr>
      </w:pPr>
      <w:r w:rsidRPr="00F143D8">
        <w:rPr>
          <w:spacing w:val="3"/>
        </w:rPr>
        <w:t>Un chargé de p</w:t>
      </w:r>
      <w:r w:rsidR="00F143D8" w:rsidRPr="00F143D8">
        <w:rPr>
          <w:spacing w:val="3"/>
        </w:rPr>
        <w:t>rocessus d’audit</w:t>
      </w:r>
      <w:r w:rsidRPr="00F143D8">
        <w:rPr>
          <w:spacing w:val="3"/>
        </w:rPr>
        <w:t xml:space="preserve"> est nommé au sein de l’équipe permanente pour le suivi du dossier</w:t>
      </w:r>
      <w:r w:rsidR="00574357">
        <w:rPr>
          <w:spacing w:val="3"/>
        </w:rPr>
        <w:t xml:space="preserve">. </w:t>
      </w:r>
    </w:p>
    <w:p w14:paraId="731B8BDA" w14:textId="16A32833" w:rsidR="0057243A" w:rsidRPr="00F143D8" w:rsidRDefault="007B63FD" w:rsidP="00F143D8">
      <w:pPr>
        <w:pStyle w:val="Paragraphedeliste"/>
        <w:numPr>
          <w:ilvl w:val="0"/>
          <w:numId w:val="4"/>
        </w:numPr>
        <w:tabs>
          <w:tab w:val="left" w:pos="142"/>
        </w:tabs>
        <w:rPr>
          <w:spacing w:val="3"/>
        </w:rPr>
      </w:pPr>
      <w:r w:rsidRPr="00F143D8">
        <w:rPr>
          <w:spacing w:val="3"/>
        </w:rPr>
        <w:t xml:space="preserve">Le Comité de nomination des experts compose l’équipe d’audit en concertation avec le chargé de </w:t>
      </w:r>
      <w:r w:rsidR="00386AEB">
        <w:rPr>
          <w:spacing w:val="3"/>
        </w:rPr>
        <w:t>processu</w:t>
      </w:r>
      <w:r w:rsidRPr="00F143D8">
        <w:rPr>
          <w:spacing w:val="3"/>
        </w:rPr>
        <w:t>s</w:t>
      </w:r>
      <w:r w:rsidR="00386AEB">
        <w:rPr>
          <w:spacing w:val="3"/>
        </w:rPr>
        <w:t xml:space="preserve"> d’audit</w:t>
      </w:r>
      <w:r w:rsidR="00574357">
        <w:rPr>
          <w:spacing w:val="3"/>
        </w:rPr>
        <w:t xml:space="preserve">. </w:t>
      </w:r>
    </w:p>
    <w:p w14:paraId="0786D850" w14:textId="77777777" w:rsidR="007329CF" w:rsidRPr="00F143D8" w:rsidRDefault="009B625E" w:rsidP="00F143D8">
      <w:pPr>
        <w:pStyle w:val="Paragraphedeliste"/>
        <w:numPr>
          <w:ilvl w:val="0"/>
          <w:numId w:val="4"/>
        </w:numPr>
        <w:tabs>
          <w:tab w:val="left" w:pos="142"/>
        </w:tabs>
        <w:rPr>
          <w:spacing w:val="3"/>
        </w:rPr>
      </w:pPr>
      <w:r w:rsidRPr="00F143D8">
        <w:rPr>
          <w:spacing w:val="3"/>
        </w:rPr>
        <w:t>La CTI informe l’école du calendrier et de l’équipe prévus</w:t>
      </w:r>
      <w:r w:rsidR="00096A2B" w:rsidRPr="00F143D8">
        <w:rPr>
          <w:spacing w:val="3"/>
        </w:rPr>
        <w:t xml:space="preserve">. L’établissement </w:t>
      </w:r>
      <w:r w:rsidR="007B63FD" w:rsidRPr="00F143D8">
        <w:rPr>
          <w:spacing w:val="3"/>
        </w:rPr>
        <w:t xml:space="preserve">peut contester la nomination d’un ou de plusieurs des experts s’il estime qu’il y a conflit d’intérêt. </w:t>
      </w:r>
    </w:p>
    <w:p w14:paraId="60FD83AD" w14:textId="32826AA8" w:rsidR="007329CF" w:rsidRPr="00F143D8" w:rsidRDefault="002A660E" w:rsidP="00F143D8">
      <w:pPr>
        <w:pStyle w:val="Paragraphedeliste"/>
        <w:numPr>
          <w:ilvl w:val="0"/>
          <w:numId w:val="4"/>
        </w:numPr>
        <w:tabs>
          <w:tab w:val="left" w:pos="142"/>
        </w:tabs>
        <w:rPr>
          <w:spacing w:val="3"/>
        </w:rPr>
      </w:pPr>
      <w:r>
        <w:rPr>
          <w:spacing w:val="3"/>
        </w:rPr>
        <w:t>Un mem</w:t>
      </w:r>
      <w:r w:rsidR="006A6BE4">
        <w:rPr>
          <w:spacing w:val="3"/>
        </w:rPr>
        <w:t>bre de l’équipe permanente</w:t>
      </w:r>
      <w:r w:rsidR="007B63FD" w:rsidRPr="00F143D8">
        <w:rPr>
          <w:spacing w:val="3"/>
        </w:rPr>
        <w:t xml:space="preserve"> prépare la facture d’acompte de </w:t>
      </w:r>
      <w:r w:rsidR="00934D81">
        <w:rPr>
          <w:spacing w:val="3"/>
        </w:rPr>
        <w:t>5</w:t>
      </w:r>
      <w:r w:rsidR="007B63FD" w:rsidRPr="00F143D8">
        <w:rPr>
          <w:spacing w:val="3"/>
        </w:rPr>
        <w:t xml:space="preserve">0% du coût de la mission, à régler à la signature du protocole. </w:t>
      </w:r>
    </w:p>
    <w:p w14:paraId="1C465201" w14:textId="77777777" w:rsidR="006A6BE4" w:rsidRDefault="007B63FD" w:rsidP="00C07B25">
      <w:pPr>
        <w:pStyle w:val="Paragraphedeliste"/>
        <w:numPr>
          <w:ilvl w:val="0"/>
          <w:numId w:val="4"/>
        </w:numPr>
        <w:tabs>
          <w:tab w:val="left" w:pos="142"/>
        </w:tabs>
        <w:rPr>
          <w:spacing w:val="3"/>
        </w:rPr>
      </w:pPr>
      <w:r w:rsidRPr="006A6BE4">
        <w:rPr>
          <w:spacing w:val="3"/>
        </w:rPr>
        <w:t xml:space="preserve">Le processus se poursuit jusqu’à la séance plénière : </w:t>
      </w:r>
    </w:p>
    <w:p w14:paraId="04694706" w14:textId="4E4E4606" w:rsidR="006A6BE4" w:rsidRPr="00A05FBD" w:rsidRDefault="008E5300" w:rsidP="00A05FBD">
      <w:pPr>
        <w:pStyle w:val="Paragraphedeliste"/>
        <w:numPr>
          <w:ilvl w:val="1"/>
          <w:numId w:val="4"/>
        </w:numPr>
        <w:tabs>
          <w:tab w:val="left" w:pos="142"/>
        </w:tabs>
        <w:spacing w:line="22" w:lineRule="atLeast"/>
        <w:rPr>
          <w:spacing w:val="3"/>
        </w:rPr>
      </w:pPr>
      <w:r w:rsidRPr="00A05FBD">
        <w:rPr>
          <w:spacing w:val="3"/>
        </w:rPr>
        <w:t xml:space="preserve">Envoi du dossier d’auto-évaluation </w:t>
      </w:r>
      <w:r w:rsidR="00D04F1D" w:rsidRPr="00A05FBD">
        <w:rPr>
          <w:spacing w:val="3"/>
        </w:rPr>
        <w:t xml:space="preserve">et ses annexes </w:t>
      </w:r>
      <w:r w:rsidRPr="00A05FBD">
        <w:rPr>
          <w:spacing w:val="3"/>
        </w:rPr>
        <w:t xml:space="preserve">à la date définie </w:t>
      </w:r>
      <w:r w:rsidR="00144A3F" w:rsidRPr="00A05FBD">
        <w:rPr>
          <w:spacing w:val="3"/>
        </w:rPr>
        <w:t>au département qualité et reconnaissance des diplômes de la DGESIP, en charge du greffe de la CTI (</w:t>
      </w:r>
      <w:hyperlink r:id="rId12" w:history="1">
        <w:r w:rsidR="00D56EEB" w:rsidRPr="00F10B2B">
          <w:rPr>
            <w:rStyle w:val="Lienhypertexte"/>
            <w:spacing w:val="3"/>
          </w:rPr>
          <w:t>greffe-cti@education.gouv.fr</w:t>
        </w:r>
      </w:hyperlink>
      <w:r w:rsidR="00144A3F" w:rsidRPr="00A05FBD">
        <w:rPr>
          <w:spacing w:val="3"/>
        </w:rPr>
        <w:t>)</w:t>
      </w:r>
      <w:r w:rsidR="00A05FBD" w:rsidRPr="00A05FBD">
        <w:rPr>
          <w:spacing w:val="3"/>
        </w:rPr>
        <w:t xml:space="preserve"> ainsi qu’à </w:t>
      </w:r>
      <w:hyperlink r:id="rId13" w:history="1">
        <w:r w:rsidR="007D2008" w:rsidRPr="00910B41">
          <w:rPr>
            <w:rStyle w:val="Lienhypertexte"/>
          </w:rPr>
          <w:t>international@cti-commission.fr</w:t>
        </w:r>
      </w:hyperlink>
    </w:p>
    <w:p w14:paraId="33BAF41A" w14:textId="24D6AD92" w:rsidR="00B41472" w:rsidRDefault="00B41472" w:rsidP="00C07B25">
      <w:pPr>
        <w:pStyle w:val="Paragraphedeliste"/>
        <w:numPr>
          <w:ilvl w:val="1"/>
          <w:numId w:val="4"/>
        </w:numPr>
        <w:tabs>
          <w:tab w:val="left" w:pos="142"/>
        </w:tabs>
        <w:rPr>
          <w:spacing w:val="3"/>
        </w:rPr>
      </w:pPr>
      <w:r>
        <w:rPr>
          <w:spacing w:val="3"/>
        </w:rPr>
        <w:t>P</w:t>
      </w:r>
      <w:r w:rsidR="00CD1559">
        <w:rPr>
          <w:spacing w:val="3"/>
        </w:rPr>
        <w:t xml:space="preserve">réparation </w:t>
      </w:r>
      <w:r w:rsidR="00DC3081">
        <w:rPr>
          <w:spacing w:val="3"/>
        </w:rPr>
        <w:t xml:space="preserve">en </w:t>
      </w:r>
      <w:r w:rsidR="00CD1559">
        <w:rPr>
          <w:spacing w:val="3"/>
        </w:rPr>
        <w:t>amont de l’équipe d’experts de la CTI</w:t>
      </w:r>
      <w:r w:rsidR="005A0870">
        <w:rPr>
          <w:spacing w:val="3"/>
        </w:rPr>
        <w:t xml:space="preserve"> ; </w:t>
      </w:r>
    </w:p>
    <w:p w14:paraId="37A1D166" w14:textId="2232AA3C" w:rsidR="000644E1" w:rsidRDefault="008E5300" w:rsidP="004815F9">
      <w:pPr>
        <w:pStyle w:val="Paragraphedeliste"/>
        <w:numPr>
          <w:ilvl w:val="1"/>
          <w:numId w:val="4"/>
        </w:numPr>
        <w:tabs>
          <w:tab w:val="left" w:pos="142"/>
        </w:tabs>
        <w:rPr>
          <w:spacing w:val="3"/>
        </w:rPr>
      </w:pPr>
      <w:r w:rsidRPr="006A6BE4">
        <w:rPr>
          <w:spacing w:val="3"/>
        </w:rPr>
        <w:t xml:space="preserve">Visite sur site de l’équipe d’experts de la CTI, échanges avec les parties prenantes des formations concernées (direction, corps enseignant, </w:t>
      </w:r>
      <w:r w:rsidR="004417A6">
        <w:rPr>
          <w:spacing w:val="3"/>
        </w:rPr>
        <w:t xml:space="preserve">personnels, </w:t>
      </w:r>
      <w:r w:rsidRPr="006A6BE4">
        <w:rPr>
          <w:spacing w:val="3"/>
        </w:rPr>
        <w:t>étudiants, partenaires entreprise et recherche, diplômés, …) consultation de documents et découverte des installations</w:t>
      </w:r>
      <w:r w:rsidR="004A7446">
        <w:rPr>
          <w:spacing w:val="3"/>
        </w:rPr>
        <w:t xml:space="preserve"> ; </w:t>
      </w:r>
    </w:p>
    <w:p w14:paraId="36A43E13" w14:textId="6D605316" w:rsidR="000644E1" w:rsidRDefault="008E5300" w:rsidP="004815F9">
      <w:pPr>
        <w:pStyle w:val="Paragraphedeliste"/>
        <w:numPr>
          <w:ilvl w:val="1"/>
          <w:numId w:val="4"/>
        </w:numPr>
        <w:tabs>
          <w:tab w:val="left" w:pos="142"/>
        </w:tabs>
        <w:rPr>
          <w:spacing w:val="3"/>
        </w:rPr>
      </w:pPr>
      <w:r w:rsidRPr="000644E1">
        <w:rPr>
          <w:spacing w:val="3"/>
        </w:rPr>
        <w:t>Rédaction du rapport de mission par l’équipe d’</w:t>
      </w:r>
      <w:r w:rsidR="00CD1559">
        <w:rPr>
          <w:spacing w:val="3"/>
        </w:rPr>
        <w:t>experts</w:t>
      </w:r>
      <w:r w:rsidR="004A7446">
        <w:rPr>
          <w:spacing w:val="3"/>
        </w:rPr>
        <w:t xml:space="preserve"> ; </w:t>
      </w:r>
    </w:p>
    <w:p w14:paraId="79C0A8D2" w14:textId="23606E67" w:rsidR="00144FC4" w:rsidRDefault="008E5300" w:rsidP="00C07B25">
      <w:pPr>
        <w:pStyle w:val="Paragraphedeliste"/>
        <w:numPr>
          <w:ilvl w:val="1"/>
          <w:numId w:val="4"/>
        </w:numPr>
        <w:tabs>
          <w:tab w:val="left" w:pos="142"/>
        </w:tabs>
        <w:rPr>
          <w:spacing w:val="3"/>
        </w:rPr>
      </w:pPr>
      <w:r w:rsidRPr="00144FC4">
        <w:rPr>
          <w:spacing w:val="3"/>
        </w:rPr>
        <w:t>Présentation du dossier en séance plénière</w:t>
      </w:r>
      <w:r w:rsidR="004A7446">
        <w:rPr>
          <w:spacing w:val="3"/>
        </w:rPr>
        <w:t xml:space="preserve"> ; </w:t>
      </w:r>
    </w:p>
    <w:p w14:paraId="146100B5" w14:textId="77777777" w:rsidR="0000359E" w:rsidRDefault="008E5300" w:rsidP="00C07B25">
      <w:pPr>
        <w:pStyle w:val="Paragraphedeliste"/>
        <w:numPr>
          <w:ilvl w:val="1"/>
          <w:numId w:val="4"/>
        </w:numPr>
        <w:tabs>
          <w:tab w:val="left" w:pos="142"/>
        </w:tabs>
        <w:rPr>
          <w:spacing w:val="3"/>
        </w:rPr>
      </w:pPr>
      <w:r w:rsidRPr="0000359E">
        <w:rPr>
          <w:spacing w:val="3"/>
        </w:rPr>
        <w:t xml:space="preserve">Transmission de la décision d’attribution du(des) label(s) à l’établissement. </w:t>
      </w:r>
    </w:p>
    <w:p w14:paraId="1B47F93D" w14:textId="683EE1CC" w:rsidR="004D29E6" w:rsidRPr="004D29E6" w:rsidRDefault="004D29E6" w:rsidP="004D29E6">
      <w:pPr>
        <w:tabs>
          <w:tab w:val="left" w:pos="142"/>
        </w:tabs>
        <w:rPr>
          <w:spacing w:val="3"/>
        </w:rPr>
      </w:pPr>
      <w:r>
        <w:rPr>
          <w:spacing w:val="3"/>
        </w:rPr>
        <w:t xml:space="preserve">L’attribution </w:t>
      </w:r>
      <w:r w:rsidR="00CD1559">
        <w:rPr>
          <w:spacing w:val="3"/>
        </w:rPr>
        <w:t xml:space="preserve">du label </w:t>
      </w:r>
      <w:r>
        <w:rPr>
          <w:spacing w:val="3"/>
        </w:rPr>
        <w:t xml:space="preserve">est suivie de plusieurs </w:t>
      </w:r>
      <w:r w:rsidR="00004FF6">
        <w:rPr>
          <w:spacing w:val="3"/>
        </w:rPr>
        <w:t>démarches</w:t>
      </w:r>
      <w:r>
        <w:rPr>
          <w:spacing w:val="3"/>
        </w:rPr>
        <w:t xml:space="preserve"> administratives : </w:t>
      </w:r>
    </w:p>
    <w:p w14:paraId="01506274" w14:textId="5AC1F11B" w:rsidR="004D29E6" w:rsidRDefault="008E5300" w:rsidP="00BE3593">
      <w:pPr>
        <w:pStyle w:val="Paragraphedeliste"/>
        <w:numPr>
          <w:ilvl w:val="0"/>
          <w:numId w:val="4"/>
        </w:numPr>
        <w:tabs>
          <w:tab w:val="left" w:pos="142"/>
        </w:tabs>
        <w:rPr>
          <w:spacing w:val="3"/>
        </w:rPr>
      </w:pPr>
      <w:r w:rsidRPr="004D29E6">
        <w:rPr>
          <w:spacing w:val="3"/>
        </w:rPr>
        <w:t>Mise à jour de la base de données d’ENAEE et émission du(des) certificat(s) après confirmation de la décision par le Label Committee d’ENAEE</w:t>
      </w:r>
      <w:r w:rsidR="005401C4">
        <w:rPr>
          <w:spacing w:val="3"/>
        </w:rPr>
        <w:t xml:space="preserve"> ; </w:t>
      </w:r>
    </w:p>
    <w:p w14:paraId="7EE241F7" w14:textId="5D4B6FA6" w:rsidR="00BE3593" w:rsidRDefault="008E5300" w:rsidP="004815F9">
      <w:pPr>
        <w:pStyle w:val="Paragraphedeliste"/>
        <w:numPr>
          <w:ilvl w:val="0"/>
          <w:numId w:val="4"/>
        </w:numPr>
        <w:tabs>
          <w:tab w:val="left" w:pos="142"/>
        </w:tabs>
        <w:rPr>
          <w:spacing w:val="3"/>
        </w:rPr>
      </w:pPr>
      <w:r w:rsidRPr="004D29E6">
        <w:rPr>
          <w:spacing w:val="3"/>
        </w:rPr>
        <w:t>Facturation du solde du coût de la mission</w:t>
      </w:r>
      <w:r w:rsidR="005401C4">
        <w:rPr>
          <w:spacing w:val="3"/>
        </w:rPr>
        <w:t xml:space="preserve"> ; </w:t>
      </w:r>
    </w:p>
    <w:p w14:paraId="0307474B" w14:textId="32072127" w:rsidR="00BE3593" w:rsidRDefault="008E5300" w:rsidP="004815F9">
      <w:pPr>
        <w:pStyle w:val="Paragraphedeliste"/>
        <w:numPr>
          <w:ilvl w:val="0"/>
          <w:numId w:val="4"/>
        </w:numPr>
        <w:tabs>
          <w:tab w:val="left" w:pos="142"/>
        </w:tabs>
        <w:rPr>
          <w:spacing w:val="3"/>
        </w:rPr>
      </w:pPr>
      <w:r w:rsidRPr="00BE3593">
        <w:rPr>
          <w:spacing w:val="3"/>
        </w:rPr>
        <w:t>Le cas échéant, transmission de la décision à l’agence locale et/ou partenaire</w:t>
      </w:r>
      <w:r w:rsidR="005401C4">
        <w:rPr>
          <w:spacing w:val="3"/>
        </w:rPr>
        <w:t xml:space="preserve"> ; </w:t>
      </w:r>
    </w:p>
    <w:p w14:paraId="21F7AB60" w14:textId="0631EED4" w:rsidR="0019731D" w:rsidRDefault="008E5300" w:rsidP="004815F9">
      <w:pPr>
        <w:pStyle w:val="Paragraphedeliste"/>
        <w:numPr>
          <w:ilvl w:val="0"/>
          <w:numId w:val="4"/>
        </w:numPr>
        <w:tabs>
          <w:tab w:val="left" w:pos="142"/>
        </w:tabs>
        <w:rPr>
          <w:spacing w:val="3"/>
        </w:rPr>
      </w:pPr>
      <w:r w:rsidRPr="00BE3593">
        <w:rPr>
          <w:spacing w:val="3"/>
        </w:rPr>
        <w:lastRenderedPageBreak/>
        <w:t>Publication de la décision de la CTI</w:t>
      </w:r>
      <w:r w:rsidR="0095398F">
        <w:rPr>
          <w:spacing w:val="3"/>
        </w:rPr>
        <w:t xml:space="preserve"> et</w:t>
      </w:r>
      <w:r w:rsidRPr="00BE3593">
        <w:rPr>
          <w:spacing w:val="3"/>
        </w:rPr>
        <w:t xml:space="preserve"> </w:t>
      </w:r>
      <w:r w:rsidR="0019731D">
        <w:rPr>
          <w:spacing w:val="3"/>
        </w:rPr>
        <w:t xml:space="preserve">du </w:t>
      </w:r>
      <w:r w:rsidRPr="00BE3593">
        <w:rPr>
          <w:spacing w:val="3"/>
        </w:rPr>
        <w:t xml:space="preserve">rapport de mission d’audit sur le site de la CTI. </w:t>
      </w:r>
    </w:p>
    <w:p w14:paraId="5F3232C1" w14:textId="77777777" w:rsidR="0095398F" w:rsidRDefault="0095398F" w:rsidP="0019731D">
      <w:pPr>
        <w:tabs>
          <w:tab w:val="left" w:pos="142"/>
        </w:tabs>
        <w:rPr>
          <w:spacing w:val="3"/>
        </w:rPr>
      </w:pPr>
    </w:p>
    <w:p w14:paraId="19A80121" w14:textId="44A3E919" w:rsidR="00F143D8" w:rsidRPr="0019731D" w:rsidRDefault="008E5300" w:rsidP="0019731D">
      <w:pPr>
        <w:tabs>
          <w:tab w:val="left" w:pos="142"/>
        </w:tabs>
        <w:rPr>
          <w:spacing w:val="3"/>
        </w:rPr>
      </w:pPr>
      <w:r w:rsidRPr="0019731D">
        <w:rPr>
          <w:spacing w:val="3"/>
        </w:rPr>
        <w:t xml:space="preserve">Une fois le label obtenu, les écoles seront attentives : </w:t>
      </w:r>
    </w:p>
    <w:p w14:paraId="4EE8880E" w14:textId="568F9395" w:rsidR="00F143D8" w:rsidRPr="002E72B2" w:rsidRDefault="008E5300" w:rsidP="002E72B2">
      <w:pPr>
        <w:pStyle w:val="Paragraphedeliste"/>
        <w:numPr>
          <w:ilvl w:val="0"/>
          <w:numId w:val="5"/>
        </w:numPr>
        <w:tabs>
          <w:tab w:val="left" w:pos="142"/>
        </w:tabs>
        <w:rPr>
          <w:spacing w:val="3"/>
        </w:rPr>
      </w:pPr>
      <w:r w:rsidRPr="002E72B2">
        <w:rPr>
          <w:spacing w:val="3"/>
        </w:rPr>
        <w:t>Aux recommandations sur le bon usage des outils de communication exposées dans le document « Charte d’utilisation du logo EUR-ACE® »</w:t>
      </w:r>
      <w:r w:rsidR="005401C4">
        <w:rPr>
          <w:spacing w:val="3"/>
        </w:rPr>
        <w:t xml:space="preserve"> ; </w:t>
      </w:r>
    </w:p>
    <w:p w14:paraId="1E8A2B00" w14:textId="3B6C904C" w:rsidR="008E5300" w:rsidRPr="002E72B2" w:rsidRDefault="008E5300" w:rsidP="002E72B2">
      <w:pPr>
        <w:pStyle w:val="Paragraphedeliste"/>
        <w:numPr>
          <w:ilvl w:val="0"/>
          <w:numId w:val="5"/>
        </w:numPr>
        <w:tabs>
          <w:tab w:val="left" w:pos="142"/>
        </w:tabs>
        <w:rPr>
          <w:spacing w:val="3"/>
        </w:rPr>
      </w:pPr>
      <w:r w:rsidRPr="002E72B2">
        <w:rPr>
          <w:spacing w:val="3"/>
        </w:rPr>
        <w:t>A la durée effective de la labellisation, en respect du document « Attribution du Label EUR-ACE® aux établissements étrangers (2018/06) ».</w:t>
      </w:r>
    </w:p>
    <w:p w14:paraId="7DB8ECA6" w14:textId="77777777" w:rsidR="002E72B2" w:rsidRDefault="002E72B2" w:rsidP="004815F9">
      <w:pPr>
        <w:tabs>
          <w:tab w:val="left" w:pos="142"/>
        </w:tabs>
        <w:rPr>
          <w:b/>
          <w:bCs/>
          <w:spacing w:val="3"/>
        </w:rPr>
      </w:pPr>
    </w:p>
    <w:p w14:paraId="3E66235C" w14:textId="148EA80C" w:rsidR="00FB3CCE" w:rsidRPr="00B16C20" w:rsidRDefault="00FB3CCE" w:rsidP="004815F9">
      <w:pPr>
        <w:tabs>
          <w:tab w:val="left" w:pos="142"/>
        </w:tabs>
        <w:rPr>
          <w:b/>
          <w:bCs/>
          <w:spacing w:val="3"/>
        </w:rPr>
      </w:pPr>
      <w:r w:rsidRPr="00B16C20">
        <w:rPr>
          <w:b/>
          <w:bCs/>
          <w:spacing w:val="3"/>
        </w:rPr>
        <w:t>Documen</w:t>
      </w:r>
      <w:r w:rsidR="00AD49FB">
        <w:rPr>
          <w:b/>
          <w:bCs/>
          <w:spacing w:val="3"/>
        </w:rPr>
        <w:t>t</w:t>
      </w:r>
      <w:r w:rsidRPr="00B16C20">
        <w:rPr>
          <w:b/>
          <w:bCs/>
          <w:spacing w:val="3"/>
        </w:rPr>
        <w:t xml:space="preserve"> de référence </w:t>
      </w:r>
    </w:p>
    <w:p w14:paraId="0907E810" w14:textId="74E0EEE6" w:rsidR="00C8067F" w:rsidRDefault="00C8067F" w:rsidP="00B16C20">
      <w:pPr>
        <w:tabs>
          <w:tab w:val="left" w:pos="142"/>
        </w:tabs>
      </w:pPr>
      <w:r w:rsidRPr="00C16630">
        <w:t>Le document de référence pour le label EUR-ACE seul est le référentiel “</w:t>
      </w:r>
      <w:hyperlink r:id="rId14" w:history="1">
        <w:r w:rsidRPr="00BE244F">
          <w:rPr>
            <w:rStyle w:val="Lienhypertexte"/>
          </w:rPr>
          <w:t>EUR-ACE Framework Standards &amp; Guidelines</w:t>
        </w:r>
      </w:hyperlink>
      <w:r w:rsidRPr="00C16630">
        <w:t>” (EAFSG)</w:t>
      </w:r>
      <w:r>
        <w:t xml:space="preserve">. </w:t>
      </w:r>
      <w:r w:rsidRPr="00E276ED">
        <w:rPr>
          <w:spacing w:val="3"/>
        </w:rPr>
        <w:t>L’original de ce document est en version anglaise ; une traduction en français a été proposée par le réseau des agences d’assurance qualité francophones FrAQ-Sup</w:t>
      </w:r>
      <w:r w:rsidR="00B16C20">
        <w:rPr>
          <w:spacing w:val="3"/>
        </w:rPr>
        <w:t xml:space="preserve"> et </w:t>
      </w:r>
      <w:r w:rsidR="00995A80">
        <w:rPr>
          <w:spacing w:val="3"/>
        </w:rPr>
        <w:t xml:space="preserve">est </w:t>
      </w:r>
      <w:r w:rsidR="00B16C20">
        <w:rPr>
          <w:spacing w:val="3"/>
        </w:rPr>
        <w:t xml:space="preserve">disponible ici : </w:t>
      </w:r>
      <w:hyperlink r:id="rId15" w:history="1">
        <w:r w:rsidRPr="00A6681F">
          <w:rPr>
            <w:rStyle w:val="Lienhypertexte"/>
          </w:rPr>
          <w:t>https://www.cti-commission.fr/documents-de-reference/references-internationales/eafsg</w:t>
        </w:r>
      </w:hyperlink>
    </w:p>
    <w:p w14:paraId="567E9AF4" w14:textId="52139858" w:rsidR="00671BE0" w:rsidRDefault="00671BE0" w:rsidP="00F26F66">
      <w:pPr>
        <w:tabs>
          <w:tab w:val="left" w:pos="142"/>
        </w:tabs>
        <w:rPr>
          <w:spacing w:val="3"/>
        </w:rPr>
      </w:pPr>
      <w:r>
        <w:rPr>
          <w:spacing w:val="3"/>
        </w:rPr>
        <w:t>L’école est invitée à s’y référer pour rédiger son rapport conformément aux attentes.</w:t>
      </w:r>
    </w:p>
    <w:p w14:paraId="7E8235F4" w14:textId="686DC72B" w:rsidR="00F26F66" w:rsidRDefault="00F26F66" w:rsidP="00F26F66">
      <w:pPr>
        <w:tabs>
          <w:tab w:val="left" w:pos="142"/>
        </w:tabs>
        <w:rPr>
          <w:spacing w:val="3"/>
        </w:rPr>
      </w:pPr>
      <w:r w:rsidRPr="00930913">
        <w:rPr>
          <w:spacing w:val="3"/>
        </w:rPr>
        <w:t xml:space="preserve">Pour qu’un dossier soit considéré comme recevable, les formations faisant l’objet de la demande doivent avoir plusieurs années d’existence de manière à avoir </w:t>
      </w:r>
      <w:r w:rsidRPr="00930913">
        <w:rPr>
          <w:b/>
          <w:bCs/>
          <w:spacing w:val="3"/>
        </w:rPr>
        <w:t>au moins une promotion d’élèves diplômés</w:t>
      </w:r>
      <w:r>
        <w:rPr>
          <w:b/>
          <w:bCs/>
          <w:spacing w:val="3"/>
        </w:rPr>
        <w:t>.</w:t>
      </w:r>
    </w:p>
    <w:p w14:paraId="4C80A68C" w14:textId="77777777" w:rsidR="00F26F66" w:rsidRDefault="00F26F66" w:rsidP="004815F9">
      <w:pPr>
        <w:tabs>
          <w:tab w:val="left" w:pos="142"/>
        </w:tabs>
        <w:rPr>
          <w:spacing w:val="3"/>
        </w:rPr>
      </w:pPr>
    </w:p>
    <w:p w14:paraId="4B1F8E82" w14:textId="2FA9169A" w:rsidR="00237363" w:rsidRPr="00B16C20" w:rsidRDefault="00237363" w:rsidP="00237363">
      <w:pPr>
        <w:tabs>
          <w:tab w:val="left" w:pos="142"/>
        </w:tabs>
        <w:rPr>
          <w:b/>
          <w:bCs/>
          <w:spacing w:val="3"/>
        </w:rPr>
      </w:pPr>
      <w:r w:rsidRPr="00B16C20">
        <w:rPr>
          <w:b/>
          <w:bCs/>
          <w:spacing w:val="3"/>
        </w:rPr>
        <w:t>Document</w:t>
      </w:r>
      <w:r>
        <w:rPr>
          <w:b/>
          <w:bCs/>
          <w:spacing w:val="3"/>
        </w:rPr>
        <w:t>s à fournir</w:t>
      </w:r>
    </w:p>
    <w:p w14:paraId="598A724D" w14:textId="1DB9D29F" w:rsidR="00BE244F" w:rsidRPr="00E653C6" w:rsidRDefault="00237363" w:rsidP="00E653C6">
      <w:pPr>
        <w:tabs>
          <w:tab w:val="left" w:pos="142"/>
        </w:tabs>
        <w:spacing w:line="22" w:lineRule="atLeast"/>
        <w:rPr>
          <w:spacing w:val="3"/>
        </w:rPr>
      </w:pPr>
      <w:r w:rsidRPr="00C16630">
        <w:t xml:space="preserve">Le </w:t>
      </w:r>
      <w:r w:rsidR="000526B7" w:rsidRPr="00E653C6">
        <w:rPr>
          <w:spacing w:val="3"/>
        </w:rPr>
        <w:t xml:space="preserve">dossier et ses annexes sont à envoyer </w:t>
      </w:r>
      <w:r w:rsidR="00BE244F" w:rsidRPr="00E653C6">
        <w:rPr>
          <w:spacing w:val="3"/>
        </w:rPr>
        <w:t>au département qualité et reconnaissance des diplômes de la DGESIP, en charge du greffe de la CTI (</w:t>
      </w:r>
      <w:hyperlink r:id="rId16" w:history="1">
        <w:r w:rsidR="00BE244F" w:rsidRPr="00E653C6">
          <w:rPr>
            <w:rStyle w:val="Lienhypertexte"/>
            <w:spacing w:val="3"/>
          </w:rPr>
          <w:t>greffe-cti@education.gouv.fr</w:t>
        </w:r>
      </w:hyperlink>
      <w:r w:rsidR="00BE244F" w:rsidRPr="00E653C6">
        <w:rPr>
          <w:spacing w:val="3"/>
        </w:rPr>
        <w:t xml:space="preserve">) ainsi qu’à </w:t>
      </w:r>
      <w:hyperlink r:id="rId17" w:history="1">
        <w:r w:rsidR="00CA1506" w:rsidRPr="00CA1506">
          <w:rPr>
            <w:rStyle w:val="Lienhypertexte"/>
          </w:rPr>
          <w:t>international@cti-commission.fr</w:t>
        </w:r>
      </w:hyperlink>
    </w:p>
    <w:p w14:paraId="10200D09" w14:textId="77777777" w:rsidR="00155629" w:rsidRPr="00C16630" w:rsidRDefault="00155629" w:rsidP="00155629">
      <w:r w:rsidRPr="00C16630">
        <w:t>Les établissements qui postulent pour le seul label, doivent suivre la structure du référentiel EAFSG</w:t>
      </w:r>
      <w:r>
        <w:t>, rappelée ci-dessous,</w:t>
      </w:r>
      <w:r w:rsidRPr="00C16630">
        <w:t xml:space="preserve"> pour rédiger leur rapport d’auto-évaluation</w:t>
      </w:r>
      <w:r>
        <w:t xml:space="preserve">. </w:t>
      </w:r>
    </w:p>
    <w:p w14:paraId="27E0F6EF" w14:textId="44343752" w:rsidR="00F714DF" w:rsidRPr="000773A9" w:rsidRDefault="00F714DF" w:rsidP="00BC25D2">
      <w:pPr>
        <w:rPr>
          <w:b/>
          <w:bCs/>
          <w:color w:val="00B050"/>
        </w:rPr>
      </w:pPr>
      <w:r>
        <w:rPr>
          <w:b/>
          <w:bCs/>
          <w:color w:val="00B050"/>
        </w:rPr>
        <w:t>Le rapport sera étayé par des éléments de preuves fournis en annexe et des données chiffrées, notamment présentes dans le tableau de données. Certains éléments sont suggérés tout au long du RAE.</w:t>
      </w:r>
    </w:p>
    <w:p w14:paraId="2A7FF262" w14:textId="22A5C6C1" w:rsidR="004815F9" w:rsidRDefault="004815F9" w:rsidP="004815F9">
      <w:pPr>
        <w:tabs>
          <w:tab w:val="left" w:pos="142"/>
        </w:tabs>
        <w:spacing w:after="0"/>
        <w:rPr>
          <w:spacing w:val="3"/>
        </w:rPr>
      </w:pPr>
      <w:r w:rsidRPr="0002692C">
        <w:rPr>
          <w:spacing w:val="3"/>
        </w:rPr>
        <w:t>Pour chaque formation d’ingénieur</w:t>
      </w:r>
      <w:r>
        <w:rPr>
          <w:spacing w:val="3"/>
        </w:rPr>
        <w:t>s</w:t>
      </w:r>
      <w:r w:rsidRPr="0002692C">
        <w:rPr>
          <w:spacing w:val="3"/>
        </w:rPr>
        <w:t xml:space="preserve"> entrant dans le périmètre de la demande de recevabilité, les documents à fournir </w:t>
      </w:r>
      <w:r w:rsidRPr="00AB602B">
        <w:rPr>
          <w:b/>
          <w:bCs/>
          <w:spacing w:val="3"/>
        </w:rPr>
        <w:t>impérativement</w:t>
      </w:r>
      <w:r>
        <w:rPr>
          <w:spacing w:val="3"/>
        </w:rPr>
        <w:t xml:space="preserve"> </w:t>
      </w:r>
      <w:r w:rsidRPr="0002692C">
        <w:rPr>
          <w:spacing w:val="3"/>
        </w:rPr>
        <w:t>sont les suivants :</w:t>
      </w:r>
    </w:p>
    <w:p w14:paraId="2576D34A" w14:textId="1F04DB42" w:rsidR="004417A6" w:rsidRPr="00AB602B" w:rsidRDefault="004417A6" w:rsidP="00DC71C1">
      <w:pPr>
        <w:pStyle w:val="Paragraphedeliste"/>
        <w:numPr>
          <w:ilvl w:val="0"/>
          <w:numId w:val="3"/>
        </w:numPr>
        <w:tabs>
          <w:tab w:val="left" w:pos="142"/>
        </w:tabs>
        <w:spacing w:after="0"/>
        <w:rPr>
          <w:color w:val="3C786A"/>
          <w:spacing w:val="3"/>
        </w:rPr>
      </w:pPr>
      <w:r w:rsidRPr="00AB602B">
        <w:rPr>
          <w:color w:val="3C786A"/>
          <w:spacing w:val="3"/>
        </w:rPr>
        <w:t>Tableau de données mis à jour</w:t>
      </w:r>
      <w:r w:rsidR="004369C7">
        <w:rPr>
          <w:color w:val="3C786A"/>
          <w:spacing w:val="3"/>
        </w:rPr>
        <w:t>,</w:t>
      </w:r>
    </w:p>
    <w:p w14:paraId="09826150" w14:textId="45EE387A" w:rsidR="004815F9" w:rsidRPr="00172B7E" w:rsidRDefault="004815F9" w:rsidP="004815F9">
      <w:pPr>
        <w:pStyle w:val="Paragraphedeliste"/>
        <w:widowControl w:val="0"/>
        <w:numPr>
          <w:ilvl w:val="0"/>
          <w:numId w:val="3"/>
        </w:numPr>
        <w:tabs>
          <w:tab w:val="left" w:pos="142"/>
        </w:tabs>
        <w:spacing w:after="0" w:line="240" w:lineRule="auto"/>
        <w:contextualSpacing w:val="0"/>
        <w:rPr>
          <w:color w:val="3C786A"/>
          <w:spacing w:val="3"/>
        </w:rPr>
      </w:pPr>
      <w:r w:rsidRPr="00172B7E">
        <w:rPr>
          <w:color w:val="3C786A"/>
          <w:spacing w:val="3"/>
        </w:rPr>
        <w:t>Règlement des études</w:t>
      </w:r>
      <w:r w:rsidR="000B7A41" w:rsidRPr="00172B7E">
        <w:rPr>
          <w:color w:val="3C786A"/>
          <w:spacing w:val="3"/>
        </w:rPr>
        <w:t xml:space="preserve"> mis à jour</w:t>
      </w:r>
      <w:r w:rsidR="00014EB7" w:rsidRPr="00172B7E">
        <w:rPr>
          <w:color w:val="3C786A"/>
          <w:spacing w:val="3"/>
        </w:rPr>
        <w:t xml:space="preserve">, </w:t>
      </w:r>
    </w:p>
    <w:p w14:paraId="6FD3962D" w14:textId="26762B18" w:rsidR="000D4222" w:rsidRDefault="004815F9" w:rsidP="004815F9">
      <w:pPr>
        <w:pStyle w:val="Paragraphedeliste"/>
        <w:widowControl w:val="0"/>
        <w:numPr>
          <w:ilvl w:val="0"/>
          <w:numId w:val="3"/>
        </w:numPr>
        <w:tabs>
          <w:tab w:val="left" w:pos="142"/>
        </w:tabs>
        <w:spacing w:after="0" w:line="240" w:lineRule="auto"/>
        <w:contextualSpacing w:val="0"/>
        <w:rPr>
          <w:color w:val="3C786A"/>
          <w:spacing w:val="3"/>
        </w:rPr>
      </w:pPr>
      <w:r w:rsidRPr="00172B7E">
        <w:rPr>
          <w:color w:val="3C786A"/>
          <w:spacing w:val="3"/>
        </w:rPr>
        <w:t xml:space="preserve">Maquette </w:t>
      </w:r>
      <w:r w:rsidR="00DC71C1">
        <w:rPr>
          <w:color w:val="3C786A"/>
          <w:spacing w:val="3"/>
        </w:rPr>
        <w:t xml:space="preserve">pédagogique </w:t>
      </w:r>
      <w:r w:rsidRPr="00172B7E">
        <w:rPr>
          <w:color w:val="3C786A"/>
          <w:spacing w:val="3"/>
        </w:rPr>
        <w:t xml:space="preserve">de la formation </w:t>
      </w:r>
      <w:r w:rsidR="00014EB7" w:rsidRPr="00172B7E">
        <w:rPr>
          <w:color w:val="3C786A"/>
          <w:spacing w:val="3"/>
        </w:rPr>
        <w:t>mise à jour</w:t>
      </w:r>
      <w:r w:rsidR="000D4222">
        <w:rPr>
          <w:color w:val="3C786A"/>
          <w:spacing w:val="3"/>
        </w:rPr>
        <w:t xml:space="preserve"> (tableau synthétique par semestre/année recensant l’ensemble des modules et parcours des étudiants</w:t>
      </w:r>
      <w:r w:rsidR="00BC25D2">
        <w:rPr>
          <w:color w:val="3C786A"/>
          <w:spacing w:val="3"/>
        </w:rPr>
        <w:t> ; l’école peut l’adapter en fonction de son organisation</w:t>
      </w:r>
      <w:r w:rsidR="000D4222">
        <w:rPr>
          <w:color w:val="3C786A"/>
          <w:spacing w:val="3"/>
        </w:rPr>
        <w:t>)</w:t>
      </w:r>
      <w:r w:rsidR="004369C7">
        <w:rPr>
          <w:color w:val="3C786A"/>
          <w:spacing w:val="3"/>
        </w:rPr>
        <w:t>,</w:t>
      </w:r>
    </w:p>
    <w:p w14:paraId="5A1B1DFB" w14:textId="401648FA" w:rsidR="0095398F" w:rsidRPr="00AB602B" w:rsidRDefault="000D4222" w:rsidP="00AB602B">
      <w:pPr>
        <w:pStyle w:val="Paragraphedeliste"/>
        <w:widowControl w:val="0"/>
        <w:numPr>
          <w:ilvl w:val="0"/>
          <w:numId w:val="3"/>
        </w:numPr>
        <w:tabs>
          <w:tab w:val="left" w:pos="142"/>
        </w:tabs>
        <w:spacing w:after="0" w:line="240" w:lineRule="auto"/>
        <w:contextualSpacing w:val="0"/>
        <w:rPr>
          <w:b/>
          <w:bCs/>
          <w:sz w:val="32"/>
          <w:szCs w:val="32"/>
        </w:rPr>
      </w:pPr>
      <w:r w:rsidRPr="00AB602B">
        <w:rPr>
          <w:color w:val="3C786A"/>
          <w:spacing w:val="3"/>
        </w:rPr>
        <w:t xml:space="preserve">Syllabus complet de la formation (fiches de description de tous les modules de la </w:t>
      </w:r>
      <w:r w:rsidRPr="00AB602B">
        <w:rPr>
          <w:color w:val="3C786A"/>
          <w:spacing w:val="3"/>
        </w:rPr>
        <w:lastRenderedPageBreak/>
        <w:t>formation)</w:t>
      </w:r>
      <w:r w:rsidR="004369C7">
        <w:rPr>
          <w:color w:val="3C786A"/>
          <w:spacing w:val="3"/>
        </w:rPr>
        <w:t>.</w:t>
      </w:r>
      <w:r w:rsidR="0095398F" w:rsidRPr="00AB602B">
        <w:rPr>
          <w:b/>
          <w:bCs/>
          <w:sz w:val="32"/>
          <w:szCs w:val="32"/>
        </w:rPr>
        <w:br w:type="page"/>
      </w:r>
    </w:p>
    <w:p w14:paraId="5BB7643D" w14:textId="7C5EC0E5" w:rsidR="00386B84" w:rsidRPr="00AB3BF4" w:rsidRDefault="00BE4D68" w:rsidP="0081065A">
      <w:pPr>
        <w:pBdr>
          <w:bottom w:val="single" w:sz="4" w:space="1" w:color="auto"/>
        </w:pBdr>
        <w:rPr>
          <w:b/>
          <w:bCs/>
          <w:sz w:val="32"/>
          <w:szCs w:val="32"/>
        </w:rPr>
      </w:pPr>
      <w:r w:rsidRPr="00AB3BF4">
        <w:rPr>
          <w:b/>
          <w:bCs/>
          <w:sz w:val="32"/>
          <w:szCs w:val="32"/>
        </w:rPr>
        <w:lastRenderedPageBreak/>
        <w:t>Structure du rapport d’auto-évaluation</w:t>
      </w:r>
    </w:p>
    <w:p w14:paraId="625733D3" w14:textId="56FC8D41" w:rsidR="00BE4D68" w:rsidRPr="009E1B7E" w:rsidRDefault="00C92DE4" w:rsidP="00386B84">
      <w:pPr>
        <w:rPr>
          <w:i/>
          <w:iCs/>
          <w:color w:val="00B050"/>
        </w:rPr>
      </w:pPr>
      <w:r w:rsidRPr="009E1B7E">
        <w:rPr>
          <w:b/>
          <w:bCs/>
          <w:i/>
          <w:iCs/>
          <w:color w:val="00B050"/>
        </w:rPr>
        <w:t xml:space="preserve">Un sommaire </w:t>
      </w:r>
      <w:r w:rsidRPr="009E1B7E">
        <w:rPr>
          <w:i/>
          <w:iCs/>
          <w:color w:val="00B050"/>
        </w:rPr>
        <w:t>reprendra les parties.</w:t>
      </w:r>
    </w:p>
    <w:p w14:paraId="683D2FE1" w14:textId="77777777" w:rsidR="006F4C1C" w:rsidRDefault="006F4C1C" w:rsidP="00386B84">
      <w:pPr>
        <w:rPr>
          <w:i/>
          <w:iCs/>
        </w:rPr>
      </w:pPr>
    </w:p>
    <w:p w14:paraId="7E91D6E9" w14:textId="77777777" w:rsidR="006F4C1C" w:rsidRPr="006F4C1C" w:rsidRDefault="006F4C1C" w:rsidP="00386B84">
      <w:pPr>
        <w:rPr>
          <w:b/>
          <w:bCs/>
          <w:i/>
          <w:iCs/>
        </w:rPr>
      </w:pPr>
    </w:p>
    <w:p w14:paraId="0EFC238E" w14:textId="1066F2FC" w:rsidR="00BE4D68" w:rsidRPr="006F4C1C" w:rsidRDefault="009A052D" w:rsidP="005D0342">
      <w:pPr>
        <w:pStyle w:val="Paragraphedeliste"/>
        <w:numPr>
          <w:ilvl w:val="0"/>
          <w:numId w:val="6"/>
        </w:numPr>
        <w:rPr>
          <w:b/>
          <w:bCs/>
          <w:sz w:val="28"/>
          <w:szCs w:val="28"/>
        </w:rPr>
      </w:pPr>
      <w:r w:rsidRPr="006F4C1C">
        <w:rPr>
          <w:b/>
          <w:bCs/>
          <w:sz w:val="28"/>
          <w:szCs w:val="28"/>
        </w:rPr>
        <w:t xml:space="preserve">Périmètre </w:t>
      </w:r>
      <w:r w:rsidR="00333005" w:rsidRPr="006F4C1C">
        <w:rPr>
          <w:b/>
          <w:bCs/>
          <w:sz w:val="28"/>
          <w:szCs w:val="28"/>
        </w:rPr>
        <w:t xml:space="preserve">de </w:t>
      </w:r>
      <w:r w:rsidR="005D0342" w:rsidRPr="006F4C1C">
        <w:rPr>
          <w:b/>
          <w:bCs/>
          <w:sz w:val="28"/>
          <w:szCs w:val="28"/>
        </w:rPr>
        <w:t>la demande : formations concernées par la demande</w:t>
      </w:r>
    </w:p>
    <w:tbl>
      <w:tblPr>
        <w:tblStyle w:val="Grilledutableau"/>
        <w:tblW w:w="0" w:type="auto"/>
        <w:tblLook w:val="04A0" w:firstRow="1" w:lastRow="0" w:firstColumn="1" w:lastColumn="0" w:noHBand="0" w:noVBand="1"/>
      </w:tblPr>
      <w:tblGrid>
        <w:gridCol w:w="1608"/>
        <w:gridCol w:w="3387"/>
        <w:gridCol w:w="1161"/>
        <w:gridCol w:w="1121"/>
        <w:gridCol w:w="1121"/>
        <w:gridCol w:w="1121"/>
      </w:tblGrid>
      <w:tr w:rsidR="00336848" w:rsidRPr="00DF7187" w14:paraId="2C9FE63B" w14:textId="77777777" w:rsidTr="005D0342">
        <w:tc>
          <w:tcPr>
            <w:tcW w:w="1608" w:type="dxa"/>
            <w:vAlign w:val="center"/>
          </w:tcPr>
          <w:p w14:paraId="32FB6865" w14:textId="77777777" w:rsidR="00336848" w:rsidRPr="00DB49F4" w:rsidRDefault="00336848" w:rsidP="00C07B25">
            <w:pPr>
              <w:tabs>
                <w:tab w:val="left" w:pos="142"/>
              </w:tabs>
              <w:spacing w:after="120"/>
              <w:rPr>
                <w:bCs/>
                <w:spacing w:val="3"/>
              </w:rPr>
            </w:pPr>
            <w:r w:rsidRPr="00DB49F4">
              <w:rPr>
                <w:bCs/>
                <w:spacing w:val="3"/>
              </w:rPr>
              <w:t>Type de formation (master, diplôme d’ingénieur)</w:t>
            </w:r>
          </w:p>
        </w:tc>
        <w:tc>
          <w:tcPr>
            <w:tcW w:w="3387" w:type="dxa"/>
            <w:vAlign w:val="center"/>
          </w:tcPr>
          <w:p w14:paraId="71E0B46B" w14:textId="77777777" w:rsidR="00336848" w:rsidRPr="00DB49F4" w:rsidRDefault="00336848" w:rsidP="00C07B25">
            <w:pPr>
              <w:tabs>
                <w:tab w:val="left" w:pos="142"/>
              </w:tabs>
              <w:spacing w:after="120"/>
              <w:rPr>
                <w:bCs/>
                <w:spacing w:val="3"/>
              </w:rPr>
            </w:pPr>
            <w:r w:rsidRPr="00DB49F4">
              <w:rPr>
                <w:bCs/>
                <w:spacing w:val="3"/>
              </w:rPr>
              <w:t xml:space="preserve">Intitulé officiel de chaque formation (spécialité) </w:t>
            </w:r>
          </w:p>
        </w:tc>
        <w:tc>
          <w:tcPr>
            <w:tcW w:w="1019" w:type="dxa"/>
            <w:vAlign w:val="center"/>
          </w:tcPr>
          <w:p w14:paraId="547662E2" w14:textId="77777777" w:rsidR="00336848" w:rsidRPr="00DF7187" w:rsidRDefault="00336848" w:rsidP="00C07B25">
            <w:pPr>
              <w:tabs>
                <w:tab w:val="left" w:pos="142"/>
              </w:tabs>
              <w:spacing w:after="120"/>
              <w:rPr>
                <w:bCs/>
                <w:spacing w:val="3"/>
              </w:rPr>
            </w:pPr>
            <w:r w:rsidRPr="00DF7187">
              <w:rPr>
                <w:bCs/>
                <w:spacing w:val="3"/>
              </w:rPr>
              <w:t>Date de création de la formation</w:t>
            </w:r>
          </w:p>
        </w:tc>
        <w:tc>
          <w:tcPr>
            <w:tcW w:w="1016" w:type="dxa"/>
            <w:vAlign w:val="center"/>
          </w:tcPr>
          <w:p w14:paraId="5CBC553C" w14:textId="77777777" w:rsidR="00336848" w:rsidRPr="00DF7187" w:rsidRDefault="00336848" w:rsidP="00C07B25">
            <w:pPr>
              <w:tabs>
                <w:tab w:val="left" w:pos="142"/>
              </w:tabs>
              <w:rPr>
                <w:bCs/>
                <w:spacing w:val="3"/>
              </w:rPr>
            </w:pPr>
            <w:r w:rsidRPr="00DF7187">
              <w:rPr>
                <w:bCs/>
                <w:spacing w:val="3"/>
              </w:rPr>
              <w:t>Nombre de diplômés en année N-1</w:t>
            </w:r>
          </w:p>
        </w:tc>
        <w:tc>
          <w:tcPr>
            <w:tcW w:w="1016" w:type="dxa"/>
            <w:vAlign w:val="center"/>
          </w:tcPr>
          <w:p w14:paraId="401ED688" w14:textId="77777777" w:rsidR="00336848" w:rsidRPr="00DF7187" w:rsidRDefault="00336848" w:rsidP="00C07B25">
            <w:pPr>
              <w:tabs>
                <w:tab w:val="left" w:pos="142"/>
              </w:tabs>
              <w:rPr>
                <w:bCs/>
                <w:spacing w:val="3"/>
              </w:rPr>
            </w:pPr>
            <w:r w:rsidRPr="00DF7187">
              <w:rPr>
                <w:bCs/>
                <w:spacing w:val="3"/>
              </w:rPr>
              <w:t>Nombre de diplômés en année N -2</w:t>
            </w:r>
          </w:p>
        </w:tc>
        <w:tc>
          <w:tcPr>
            <w:tcW w:w="1016" w:type="dxa"/>
            <w:vAlign w:val="center"/>
          </w:tcPr>
          <w:p w14:paraId="7A190348" w14:textId="77777777" w:rsidR="00336848" w:rsidRPr="00DF7187" w:rsidRDefault="00336848" w:rsidP="00C07B25">
            <w:pPr>
              <w:tabs>
                <w:tab w:val="left" w:pos="142"/>
              </w:tabs>
              <w:spacing w:after="120"/>
              <w:rPr>
                <w:bCs/>
                <w:spacing w:val="3"/>
              </w:rPr>
            </w:pPr>
            <w:r w:rsidRPr="00DF7187">
              <w:rPr>
                <w:bCs/>
                <w:spacing w:val="3"/>
              </w:rPr>
              <w:t>Nombre de diplômés en année N - 3</w:t>
            </w:r>
          </w:p>
        </w:tc>
      </w:tr>
      <w:tr w:rsidR="00336848" w:rsidRPr="00DF7187" w14:paraId="56061245" w14:textId="77777777" w:rsidTr="005D0342">
        <w:tc>
          <w:tcPr>
            <w:tcW w:w="1608" w:type="dxa"/>
            <w:vAlign w:val="center"/>
          </w:tcPr>
          <w:p w14:paraId="0D502FB1" w14:textId="77777777" w:rsidR="00336848" w:rsidRPr="00DB49F4" w:rsidRDefault="00336848" w:rsidP="00C07B25">
            <w:pPr>
              <w:tabs>
                <w:tab w:val="left" w:pos="142"/>
              </w:tabs>
              <w:rPr>
                <w:bCs/>
                <w:spacing w:val="3"/>
              </w:rPr>
            </w:pPr>
          </w:p>
        </w:tc>
        <w:tc>
          <w:tcPr>
            <w:tcW w:w="3387" w:type="dxa"/>
            <w:vAlign w:val="center"/>
          </w:tcPr>
          <w:p w14:paraId="58424D00" w14:textId="77777777" w:rsidR="00336848" w:rsidRPr="00DB49F4" w:rsidRDefault="00336848" w:rsidP="00C07B25">
            <w:pPr>
              <w:tabs>
                <w:tab w:val="left" w:pos="142"/>
              </w:tabs>
              <w:rPr>
                <w:bCs/>
                <w:spacing w:val="3"/>
              </w:rPr>
            </w:pPr>
          </w:p>
        </w:tc>
        <w:tc>
          <w:tcPr>
            <w:tcW w:w="1019" w:type="dxa"/>
            <w:vAlign w:val="center"/>
          </w:tcPr>
          <w:p w14:paraId="0290DF95" w14:textId="77777777" w:rsidR="00336848" w:rsidRPr="00DB49F4" w:rsidRDefault="00336848" w:rsidP="00C07B25">
            <w:pPr>
              <w:tabs>
                <w:tab w:val="left" w:pos="142"/>
              </w:tabs>
              <w:rPr>
                <w:bCs/>
                <w:spacing w:val="3"/>
              </w:rPr>
            </w:pPr>
          </w:p>
        </w:tc>
        <w:tc>
          <w:tcPr>
            <w:tcW w:w="1016" w:type="dxa"/>
            <w:vAlign w:val="center"/>
          </w:tcPr>
          <w:p w14:paraId="0ADDFDCC" w14:textId="77777777" w:rsidR="00336848" w:rsidRPr="00DB49F4" w:rsidRDefault="00336848" w:rsidP="00C07B25">
            <w:pPr>
              <w:tabs>
                <w:tab w:val="left" w:pos="142"/>
              </w:tabs>
              <w:rPr>
                <w:bCs/>
                <w:spacing w:val="3"/>
              </w:rPr>
            </w:pPr>
          </w:p>
        </w:tc>
        <w:tc>
          <w:tcPr>
            <w:tcW w:w="1016" w:type="dxa"/>
            <w:vAlign w:val="center"/>
          </w:tcPr>
          <w:p w14:paraId="015E241A" w14:textId="77777777" w:rsidR="00336848" w:rsidRPr="00DB49F4" w:rsidRDefault="00336848" w:rsidP="00C07B25">
            <w:pPr>
              <w:tabs>
                <w:tab w:val="left" w:pos="142"/>
              </w:tabs>
              <w:rPr>
                <w:bCs/>
                <w:spacing w:val="3"/>
              </w:rPr>
            </w:pPr>
          </w:p>
        </w:tc>
        <w:tc>
          <w:tcPr>
            <w:tcW w:w="1016" w:type="dxa"/>
            <w:vAlign w:val="center"/>
          </w:tcPr>
          <w:p w14:paraId="139BAB44" w14:textId="77777777" w:rsidR="00336848" w:rsidRPr="00DB49F4" w:rsidRDefault="00336848" w:rsidP="00C07B25">
            <w:pPr>
              <w:tabs>
                <w:tab w:val="left" w:pos="142"/>
              </w:tabs>
              <w:rPr>
                <w:bCs/>
                <w:spacing w:val="3"/>
              </w:rPr>
            </w:pPr>
          </w:p>
        </w:tc>
      </w:tr>
      <w:tr w:rsidR="00336848" w:rsidRPr="00DF7187" w14:paraId="3F535788" w14:textId="77777777" w:rsidTr="005D0342">
        <w:trPr>
          <w:trHeight w:val="340"/>
        </w:trPr>
        <w:tc>
          <w:tcPr>
            <w:tcW w:w="1608" w:type="dxa"/>
            <w:vAlign w:val="center"/>
          </w:tcPr>
          <w:p w14:paraId="41F7B2D5" w14:textId="77777777" w:rsidR="00336848" w:rsidRPr="00DB49F4" w:rsidRDefault="00336848" w:rsidP="00C07B25">
            <w:pPr>
              <w:tabs>
                <w:tab w:val="left" w:pos="142"/>
              </w:tabs>
              <w:spacing w:after="120"/>
              <w:rPr>
                <w:bCs/>
                <w:spacing w:val="3"/>
              </w:rPr>
            </w:pPr>
          </w:p>
        </w:tc>
        <w:tc>
          <w:tcPr>
            <w:tcW w:w="3387" w:type="dxa"/>
            <w:vAlign w:val="center"/>
          </w:tcPr>
          <w:p w14:paraId="56946DDE" w14:textId="77777777" w:rsidR="00336848" w:rsidRPr="00DB49F4" w:rsidRDefault="00336848" w:rsidP="00C07B25">
            <w:pPr>
              <w:tabs>
                <w:tab w:val="left" w:pos="142"/>
              </w:tabs>
              <w:spacing w:after="120"/>
              <w:rPr>
                <w:bCs/>
                <w:spacing w:val="3"/>
              </w:rPr>
            </w:pPr>
          </w:p>
        </w:tc>
        <w:tc>
          <w:tcPr>
            <w:tcW w:w="1019" w:type="dxa"/>
            <w:vAlign w:val="center"/>
          </w:tcPr>
          <w:p w14:paraId="1747CB59" w14:textId="77777777" w:rsidR="00336848" w:rsidRPr="00DB49F4" w:rsidRDefault="00336848" w:rsidP="00C07B25">
            <w:pPr>
              <w:tabs>
                <w:tab w:val="left" w:pos="142"/>
              </w:tabs>
              <w:spacing w:after="120"/>
              <w:rPr>
                <w:bCs/>
                <w:spacing w:val="3"/>
              </w:rPr>
            </w:pPr>
          </w:p>
        </w:tc>
        <w:tc>
          <w:tcPr>
            <w:tcW w:w="1016" w:type="dxa"/>
            <w:vAlign w:val="center"/>
          </w:tcPr>
          <w:p w14:paraId="3850C5D0" w14:textId="77777777" w:rsidR="00336848" w:rsidRPr="00DB49F4" w:rsidRDefault="00336848" w:rsidP="00C07B25">
            <w:pPr>
              <w:tabs>
                <w:tab w:val="left" w:pos="142"/>
              </w:tabs>
              <w:rPr>
                <w:bCs/>
                <w:spacing w:val="3"/>
              </w:rPr>
            </w:pPr>
          </w:p>
        </w:tc>
        <w:tc>
          <w:tcPr>
            <w:tcW w:w="1016" w:type="dxa"/>
            <w:vAlign w:val="center"/>
          </w:tcPr>
          <w:p w14:paraId="0DC1840C" w14:textId="77777777" w:rsidR="00336848" w:rsidRPr="00DB49F4" w:rsidRDefault="00336848" w:rsidP="00C07B25">
            <w:pPr>
              <w:tabs>
                <w:tab w:val="left" w:pos="142"/>
              </w:tabs>
              <w:rPr>
                <w:bCs/>
                <w:spacing w:val="3"/>
              </w:rPr>
            </w:pPr>
          </w:p>
        </w:tc>
        <w:tc>
          <w:tcPr>
            <w:tcW w:w="1016" w:type="dxa"/>
            <w:vAlign w:val="center"/>
          </w:tcPr>
          <w:p w14:paraId="53F37EC6" w14:textId="77777777" w:rsidR="00336848" w:rsidRPr="00DB49F4" w:rsidRDefault="00336848" w:rsidP="00C07B25">
            <w:pPr>
              <w:tabs>
                <w:tab w:val="left" w:pos="142"/>
              </w:tabs>
              <w:spacing w:after="120"/>
              <w:rPr>
                <w:bCs/>
                <w:spacing w:val="3"/>
              </w:rPr>
            </w:pPr>
          </w:p>
        </w:tc>
      </w:tr>
      <w:tr w:rsidR="00336848" w:rsidRPr="00DF7187" w14:paraId="4585EB3B" w14:textId="77777777" w:rsidTr="005D0342">
        <w:trPr>
          <w:trHeight w:val="340"/>
        </w:trPr>
        <w:tc>
          <w:tcPr>
            <w:tcW w:w="1608" w:type="dxa"/>
            <w:vAlign w:val="center"/>
          </w:tcPr>
          <w:p w14:paraId="7B51E1EE" w14:textId="77777777" w:rsidR="00336848" w:rsidRPr="00DB49F4" w:rsidRDefault="00336848" w:rsidP="00C07B25">
            <w:pPr>
              <w:tabs>
                <w:tab w:val="left" w:pos="142"/>
              </w:tabs>
              <w:spacing w:after="120"/>
              <w:rPr>
                <w:bCs/>
                <w:spacing w:val="3"/>
              </w:rPr>
            </w:pPr>
          </w:p>
        </w:tc>
        <w:tc>
          <w:tcPr>
            <w:tcW w:w="3387" w:type="dxa"/>
            <w:vAlign w:val="center"/>
          </w:tcPr>
          <w:p w14:paraId="0F556C63" w14:textId="77777777" w:rsidR="00336848" w:rsidRPr="00DB49F4" w:rsidRDefault="00336848" w:rsidP="00C07B25">
            <w:pPr>
              <w:tabs>
                <w:tab w:val="left" w:pos="142"/>
              </w:tabs>
              <w:spacing w:after="120"/>
              <w:rPr>
                <w:bCs/>
                <w:spacing w:val="3"/>
              </w:rPr>
            </w:pPr>
          </w:p>
        </w:tc>
        <w:tc>
          <w:tcPr>
            <w:tcW w:w="1019" w:type="dxa"/>
            <w:vAlign w:val="center"/>
          </w:tcPr>
          <w:p w14:paraId="5B2BCE6E" w14:textId="77777777" w:rsidR="00336848" w:rsidRPr="00DB49F4" w:rsidRDefault="00336848" w:rsidP="00C07B25">
            <w:pPr>
              <w:tabs>
                <w:tab w:val="left" w:pos="142"/>
              </w:tabs>
              <w:spacing w:after="120"/>
              <w:rPr>
                <w:bCs/>
                <w:spacing w:val="3"/>
              </w:rPr>
            </w:pPr>
          </w:p>
        </w:tc>
        <w:tc>
          <w:tcPr>
            <w:tcW w:w="1016" w:type="dxa"/>
            <w:vAlign w:val="center"/>
          </w:tcPr>
          <w:p w14:paraId="3A9B4234" w14:textId="77777777" w:rsidR="00336848" w:rsidRPr="00DB49F4" w:rsidRDefault="00336848" w:rsidP="00C07B25">
            <w:pPr>
              <w:tabs>
                <w:tab w:val="left" w:pos="142"/>
              </w:tabs>
              <w:rPr>
                <w:bCs/>
                <w:spacing w:val="3"/>
              </w:rPr>
            </w:pPr>
          </w:p>
        </w:tc>
        <w:tc>
          <w:tcPr>
            <w:tcW w:w="1016" w:type="dxa"/>
            <w:vAlign w:val="center"/>
          </w:tcPr>
          <w:p w14:paraId="7147A279" w14:textId="77777777" w:rsidR="00336848" w:rsidRPr="00DB49F4" w:rsidRDefault="00336848" w:rsidP="00C07B25">
            <w:pPr>
              <w:tabs>
                <w:tab w:val="left" w:pos="142"/>
              </w:tabs>
              <w:rPr>
                <w:bCs/>
                <w:spacing w:val="3"/>
              </w:rPr>
            </w:pPr>
          </w:p>
        </w:tc>
        <w:tc>
          <w:tcPr>
            <w:tcW w:w="1016" w:type="dxa"/>
            <w:vAlign w:val="center"/>
          </w:tcPr>
          <w:p w14:paraId="6430F723" w14:textId="77777777" w:rsidR="00336848" w:rsidRPr="00DB49F4" w:rsidRDefault="00336848" w:rsidP="00C07B25">
            <w:pPr>
              <w:tabs>
                <w:tab w:val="left" w:pos="142"/>
              </w:tabs>
              <w:spacing w:after="120"/>
              <w:rPr>
                <w:bCs/>
                <w:spacing w:val="3"/>
              </w:rPr>
            </w:pPr>
          </w:p>
        </w:tc>
      </w:tr>
      <w:tr w:rsidR="00336848" w:rsidRPr="00381611" w14:paraId="06928D80" w14:textId="77777777" w:rsidTr="005D0342">
        <w:trPr>
          <w:trHeight w:val="340"/>
        </w:trPr>
        <w:tc>
          <w:tcPr>
            <w:tcW w:w="1608" w:type="dxa"/>
            <w:vAlign w:val="center"/>
          </w:tcPr>
          <w:p w14:paraId="3D9E1764" w14:textId="77777777" w:rsidR="00336848" w:rsidRPr="00DB49F4" w:rsidRDefault="00336848" w:rsidP="00C07B25">
            <w:pPr>
              <w:tabs>
                <w:tab w:val="left" w:pos="142"/>
              </w:tabs>
              <w:spacing w:after="120"/>
              <w:rPr>
                <w:bCs/>
                <w:spacing w:val="3"/>
              </w:rPr>
            </w:pPr>
          </w:p>
        </w:tc>
        <w:tc>
          <w:tcPr>
            <w:tcW w:w="3387" w:type="dxa"/>
            <w:vAlign w:val="center"/>
          </w:tcPr>
          <w:p w14:paraId="74F432D0" w14:textId="77777777" w:rsidR="00336848" w:rsidRPr="00DB49F4" w:rsidRDefault="00336848" w:rsidP="00C07B25">
            <w:pPr>
              <w:tabs>
                <w:tab w:val="left" w:pos="142"/>
              </w:tabs>
              <w:spacing w:after="120"/>
              <w:rPr>
                <w:bCs/>
                <w:spacing w:val="3"/>
              </w:rPr>
            </w:pPr>
          </w:p>
        </w:tc>
        <w:tc>
          <w:tcPr>
            <w:tcW w:w="1019" w:type="dxa"/>
            <w:vAlign w:val="center"/>
          </w:tcPr>
          <w:p w14:paraId="574E4D72" w14:textId="77777777" w:rsidR="00336848" w:rsidRPr="00DB49F4" w:rsidRDefault="00336848" w:rsidP="00C07B25">
            <w:pPr>
              <w:tabs>
                <w:tab w:val="left" w:pos="142"/>
              </w:tabs>
              <w:spacing w:after="120"/>
              <w:rPr>
                <w:bCs/>
                <w:spacing w:val="3"/>
              </w:rPr>
            </w:pPr>
          </w:p>
        </w:tc>
        <w:tc>
          <w:tcPr>
            <w:tcW w:w="1016" w:type="dxa"/>
            <w:vAlign w:val="center"/>
          </w:tcPr>
          <w:p w14:paraId="71FE003A" w14:textId="77777777" w:rsidR="00336848" w:rsidRPr="00DB49F4" w:rsidRDefault="00336848" w:rsidP="00C07B25">
            <w:pPr>
              <w:tabs>
                <w:tab w:val="left" w:pos="142"/>
              </w:tabs>
              <w:rPr>
                <w:bCs/>
                <w:spacing w:val="3"/>
              </w:rPr>
            </w:pPr>
          </w:p>
        </w:tc>
        <w:tc>
          <w:tcPr>
            <w:tcW w:w="1016" w:type="dxa"/>
            <w:vAlign w:val="center"/>
          </w:tcPr>
          <w:p w14:paraId="385BADE7" w14:textId="77777777" w:rsidR="00336848" w:rsidRPr="00DB49F4" w:rsidRDefault="00336848" w:rsidP="00C07B25">
            <w:pPr>
              <w:tabs>
                <w:tab w:val="left" w:pos="142"/>
              </w:tabs>
              <w:rPr>
                <w:bCs/>
                <w:spacing w:val="3"/>
              </w:rPr>
            </w:pPr>
          </w:p>
        </w:tc>
        <w:tc>
          <w:tcPr>
            <w:tcW w:w="1016" w:type="dxa"/>
            <w:vAlign w:val="center"/>
          </w:tcPr>
          <w:p w14:paraId="302B4213" w14:textId="77777777" w:rsidR="00336848" w:rsidRPr="00DB49F4" w:rsidRDefault="00336848" w:rsidP="00C07B25">
            <w:pPr>
              <w:tabs>
                <w:tab w:val="left" w:pos="142"/>
              </w:tabs>
              <w:spacing w:after="120"/>
              <w:rPr>
                <w:bCs/>
                <w:spacing w:val="3"/>
              </w:rPr>
            </w:pPr>
          </w:p>
        </w:tc>
      </w:tr>
    </w:tbl>
    <w:p w14:paraId="026E3FFF" w14:textId="77777777" w:rsidR="0081065A" w:rsidRPr="00381611" w:rsidRDefault="0081065A" w:rsidP="00496180">
      <w:pPr>
        <w:tabs>
          <w:tab w:val="left" w:pos="142"/>
        </w:tabs>
        <w:rPr>
          <w:spacing w:val="7"/>
          <w:kern w:val="1"/>
          <w:sz w:val="22"/>
          <w:szCs w:val="22"/>
          <w:lang w:eastAsia="zh-CN"/>
        </w:rPr>
      </w:pPr>
    </w:p>
    <w:p w14:paraId="6A8FB1C7" w14:textId="3ECABAD4" w:rsidR="00784DDA" w:rsidRPr="0081065A" w:rsidRDefault="00496180" w:rsidP="00496180">
      <w:pPr>
        <w:tabs>
          <w:tab w:val="left" w:pos="142"/>
        </w:tabs>
        <w:rPr>
          <w:spacing w:val="7"/>
          <w:kern w:val="1"/>
          <w:lang w:eastAsia="zh-CN"/>
        </w:rPr>
      </w:pPr>
      <w:r w:rsidRPr="0081065A">
        <w:rPr>
          <w:spacing w:val="7"/>
          <w:kern w:val="1"/>
          <w:lang w:eastAsia="zh-CN"/>
        </w:rPr>
        <w:t xml:space="preserve">L’établissement rappellera les années de référence </w:t>
      </w:r>
      <w:r w:rsidR="00784DDA" w:rsidRPr="0081065A">
        <w:rPr>
          <w:spacing w:val="7"/>
          <w:kern w:val="1"/>
          <w:lang w:eastAsia="zh-CN"/>
        </w:rPr>
        <w:t>utilisées dans ce dossier</w:t>
      </w:r>
    </w:p>
    <w:p w14:paraId="277B7FE9" w14:textId="6B94BE2D" w:rsidR="00496180" w:rsidRPr="0081065A" w:rsidRDefault="00496180" w:rsidP="007C6F49">
      <w:pPr>
        <w:pStyle w:val="Paragraphedeliste"/>
        <w:numPr>
          <w:ilvl w:val="0"/>
          <w:numId w:val="7"/>
        </w:numPr>
        <w:tabs>
          <w:tab w:val="left" w:pos="142"/>
        </w:tabs>
        <w:rPr>
          <w:color w:val="FF9900"/>
          <w:spacing w:val="3"/>
        </w:rPr>
      </w:pPr>
      <w:r w:rsidRPr="0081065A">
        <w:rPr>
          <w:color w:val="FF9900"/>
          <w:spacing w:val="3"/>
        </w:rPr>
        <w:t xml:space="preserve">Année N = année universitaire de la demande </w:t>
      </w:r>
      <w:r w:rsidR="000C66E3">
        <w:rPr>
          <w:color w:val="FF9900"/>
          <w:spacing w:val="3"/>
        </w:rPr>
        <w:t>d’accréditation</w:t>
      </w:r>
      <w:r w:rsidRPr="0081065A">
        <w:rPr>
          <w:color w:val="FF9900"/>
          <w:spacing w:val="3"/>
        </w:rPr>
        <w:t xml:space="preserve"> (préciser) (exemple : </w:t>
      </w:r>
      <w:r w:rsidR="00847E48">
        <w:rPr>
          <w:color w:val="FF9900"/>
          <w:spacing w:val="3"/>
        </w:rPr>
        <w:t>2025</w:t>
      </w:r>
      <w:r w:rsidR="000C66E3">
        <w:rPr>
          <w:color w:val="FF9900"/>
          <w:spacing w:val="3"/>
        </w:rPr>
        <w:t>-202</w:t>
      </w:r>
      <w:r w:rsidR="00847E48">
        <w:rPr>
          <w:color w:val="FF9900"/>
          <w:spacing w:val="3"/>
        </w:rPr>
        <w:t>6</w:t>
      </w:r>
      <w:r w:rsidRPr="0081065A">
        <w:rPr>
          <w:color w:val="FF9900"/>
          <w:spacing w:val="3"/>
        </w:rPr>
        <w:t>)</w:t>
      </w:r>
    </w:p>
    <w:p w14:paraId="47E6DDE4" w14:textId="77777777" w:rsidR="00496180" w:rsidRPr="0081065A" w:rsidRDefault="00496180" w:rsidP="007C6F49">
      <w:pPr>
        <w:pStyle w:val="Paragraphedeliste"/>
        <w:numPr>
          <w:ilvl w:val="0"/>
          <w:numId w:val="7"/>
        </w:numPr>
        <w:tabs>
          <w:tab w:val="left" w:pos="142"/>
        </w:tabs>
        <w:rPr>
          <w:color w:val="FF9900"/>
          <w:spacing w:val="3"/>
        </w:rPr>
      </w:pPr>
      <w:r w:rsidRPr="0081065A">
        <w:rPr>
          <w:color w:val="FF9900"/>
          <w:spacing w:val="3"/>
        </w:rPr>
        <w:t xml:space="preserve">Mesures </w:t>
      </w:r>
      <w:r w:rsidRPr="0081065A">
        <w:rPr>
          <w:b/>
          <w:bCs/>
          <w:color w:val="FF9900"/>
          <w:spacing w:val="3"/>
        </w:rPr>
        <w:t>sur les diplômés</w:t>
      </w:r>
      <w:r w:rsidRPr="0081065A">
        <w:rPr>
          <w:color w:val="FF9900"/>
          <w:spacing w:val="3"/>
        </w:rPr>
        <w:t xml:space="preserve"> : promotion diplômée dans le courant ou en fin de l'année universitaire précédant la demande : Année N-1</w:t>
      </w:r>
    </w:p>
    <w:p w14:paraId="7EDB6245" w14:textId="77777777" w:rsidR="00496180" w:rsidRPr="0081065A" w:rsidRDefault="00496180" w:rsidP="007C6F49">
      <w:pPr>
        <w:pStyle w:val="Paragraphedeliste"/>
        <w:numPr>
          <w:ilvl w:val="0"/>
          <w:numId w:val="7"/>
        </w:numPr>
        <w:tabs>
          <w:tab w:val="left" w:pos="142"/>
        </w:tabs>
        <w:rPr>
          <w:color w:val="FF9900"/>
          <w:spacing w:val="3"/>
        </w:rPr>
      </w:pPr>
      <w:r w:rsidRPr="0081065A">
        <w:rPr>
          <w:color w:val="FF9900"/>
          <w:spacing w:val="3"/>
        </w:rPr>
        <w:t xml:space="preserve">Mesures </w:t>
      </w:r>
      <w:r w:rsidRPr="0081065A">
        <w:rPr>
          <w:b/>
          <w:bCs/>
          <w:color w:val="FF9900"/>
          <w:spacing w:val="3"/>
        </w:rPr>
        <w:t>sur les « entrants »</w:t>
      </w:r>
      <w:r w:rsidRPr="0081065A">
        <w:rPr>
          <w:color w:val="FF9900"/>
          <w:spacing w:val="3"/>
        </w:rPr>
        <w:t xml:space="preserve"> : rentrée du semestre d'automne de l'année universitaire de la demande : Année N</w:t>
      </w:r>
    </w:p>
    <w:p w14:paraId="4155E73B" w14:textId="1E08DCF4" w:rsidR="00496180" w:rsidRPr="0081065A" w:rsidRDefault="00496180" w:rsidP="007C6F49">
      <w:pPr>
        <w:pStyle w:val="Paragraphedeliste"/>
        <w:numPr>
          <w:ilvl w:val="0"/>
          <w:numId w:val="7"/>
        </w:numPr>
        <w:tabs>
          <w:tab w:val="left" w:pos="142"/>
        </w:tabs>
        <w:rPr>
          <w:color w:val="FF9900"/>
          <w:spacing w:val="3"/>
        </w:rPr>
      </w:pPr>
      <w:r w:rsidRPr="0081065A">
        <w:rPr>
          <w:color w:val="FF9900"/>
          <w:spacing w:val="3"/>
        </w:rPr>
        <w:t xml:space="preserve">Mesures </w:t>
      </w:r>
      <w:r w:rsidRPr="0081065A">
        <w:rPr>
          <w:b/>
          <w:bCs/>
          <w:color w:val="FF9900"/>
          <w:spacing w:val="3"/>
        </w:rPr>
        <w:t>sur les inscrits</w:t>
      </w:r>
      <w:r w:rsidRPr="0081065A">
        <w:rPr>
          <w:color w:val="FF9900"/>
          <w:spacing w:val="3"/>
        </w:rPr>
        <w:t xml:space="preserve"> : effectif au 31 décembre de l'année civile n précédant la date de la présente demande de recevabilité (ex : si N = 202</w:t>
      </w:r>
      <w:r w:rsidR="00847E48">
        <w:rPr>
          <w:color w:val="FF9900"/>
          <w:spacing w:val="3"/>
        </w:rPr>
        <w:t>5</w:t>
      </w:r>
      <w:r w:rsidRPr="0081065A">
        <w:rPr>
          <w:color w:val="FF9900"/>
          <w:spacing w:val="3"/>
        </w:rPr>
        <w:t xml:space="preserve"> - 202</w:t>
      </w:r>
      <w:r w:rsidR="00847E48">
        <w:rPr>
          <w:color w:val="FF9900"/>
          <w:spacing w:val="3"/>
        </w:rPr>
        <w:t>6</w:t>
      </w:r>
      <w:r w:rsidRPr="0081065A">
        <w:rPr>
          <w:color w:val="FF9900"/>
          <w:spacing w:val="3"/>
        </w:rPr>
        <w:t xml:space="preserve">, n = </w:t>
      </w:r>
      <w:r w:rsidR="00847E48" w:rsidRPr="0081065A">
        <w:rPr>
          <w:color w:val="FF9900"/>
          <w:spacing w:val="3"/>
        </w:rPr>
        <w:t>202</w:t>
      </w:r>
      <w:r w:rsidR="00847E48">
        <w:rPr>
          <w:color w:val="FF9900"/>
          <w:spacing w:val="3"/>
        </w:rPr>
        <w:t>5</w:t>
      </w:r>
      <w:r w:rsidRPr="0081065A">
        <w:rPr>
          <w:color w:val="FF9900"/>
          <w:spacing w:val="3"/>
        </w:rPr>
        <w:t>)</w:t>
      </w:r>
    </w:p>
    <w:p w14:paraId="17948725" w14:textId="77777777" w:rsidR="00496180" w:rsidRPr="0081065A" w:rsidRDefault="00496180" w:rsidP="007C6F49">
      <w:pPr>
        <w:pStyle w:val="Paragraphedeliste"/>
        <w:numPr>
          <w:ilvl w:val="0"/>
          <w:numId w:val="7"/>
        </w:numPr>
        <w:tabs>
          <w:tab w:val="left" w:pos="142"/>
        </w:tabs>
        <w:rPr>
          <w:color w:val="FF9900"/>
          <w:spacing w:val="3"/>
        </w:rPr>
      </w:pPr>
      <w:r w:rsidRPr="0081065A">
        <w:rPr>
          <w:color w:val="FF9900"/>
          <w:spacing w:val="3"/>
        </w:rPr>
        <w:t>Mesures sur les données administratives (financières, personnels ...) : année civile n = 20XX ou année universitaire N = 20XX-20XX (suivant le mode comptabilité, préciser)</w:t>
      </w:r>
    </w:p>
    <w:p w14:paraId="3F4B1CA0" w14:textId="38115F92" w:rsidR="00336848" w:rsidRPr="00491784" w:rsidRDefault="00336848" w:rsidP="00491784">
      <w:pPr>
        <w:rPr>
          <w:b/>
          <w:bCs/>
          <w:color w:val="E97132" w:themeColor="accent2"/>
          <w:spacing w:val="7"/>
          <w:kern w:val="1"/>
          <w:lang w:eastAsia="zh-CN"/>
        </w:rPr>
      </w:pPr>
    </w:p>
    <w:p w14:paraId="74569A24" w14:textId="77777777" w:rsidR="005C74E8" w:rsidRDefault="005C74E8" w:rsidP="009A052D">
      <w:pPr>
        <w:pStyle w:val="Paragraphedeliste"/>
        <w:numPr>
          <w:ilvl w:val="0"/>
          <w:numId w:val="6"/>
        </w:numPr>
        <w:rPr>
          <w:b/>
          <w:bCs/>
          <w:sz w:val="28"/>
          <w:szCs w:val="28"/>
        </w:rPr>
      </w:pPr>
      <w:r w:rsidRPr="00AB3BF4">
        <w:rPr>
          <w:b/>
          <w:bCs/>
          <w:sz w:val="28"/>
          <w:szCs w:val="28"/>
        </w:rPr>
        <w:t xml:space="preserve">Suivi des recommandations précédentes de la CTI (si pertinent) </w:t>
      </w:r>
    </w:p>
    <w:p w14:paraId="171B68D6" w14:textId="77777777" w:rsidR="00764E96" w:rsidRDefault="00764E96" w:rsidP="00764E96">
      <w:pPr>
        <w:pStyle w:val="Paragraphedeliste"/>
        <w:ind w:left="1080"/>
        <w:rPr>
          <w:b/>
          <w:bCs/>
          <w:sz w:val="28"/>
          <w:szCs w:val="28"/>
        </w:rPr>
      </w:pPr>
    </w:p>
    <w:p w14:paraId="1D37D477" w14:textId="77777777" w:rsidR="00764E96" w:rsidRDefault="00764E96" w:rsidP="00764E96">
      <w:pPr>
        <w:pStyle w:val="Paragraphedeliste"/>
        <w:ind w:left="1080"/>
        <w:rPr>
          <w:b/>
          <w:bCs/>
          <w:sz w:val="28"/>
          <w:szCs w:val="28"/>
        </w:rPr>
      </w:pPr>
    </w:p>
    <w:p w14:paraId="3C526C1F" w14:textId="77777777" w:rsidR="009C414D" w:rsidRDefault="009C414D" w:rsidP="00764E96">
      <w:pPr>
        <w:pStyle w:val="Paragraphedeliste"/>
        <w:ind w:left="1080"/>
        <w:rPr>
          <w:b/>
          <w:bCs/>
          <w:sz w:val="28"/>
          <w:szCs w:val="28"/>
        </w:rPr>
      </w:pPr>
    </w:p>
    <w:p w14:paraId="5506171D" w14:textId="77777777" w:rsidR="009C414D" w:rsidRDefault="009C414D" w:rsidP="00764E96">
      <w:pPr>
        <w:pStyle w:val="Paragraphedeliste"/>
        <w:ind w:left="1080"/>
        <w:rPr>
          <w:b/>
          <w:bCs/>
          <w:sz w:val="28"/>
          <w:szCs w:val="28"/>
        </w:rPr>
      </w:pPr>
    </w:p>
    <w:p w14:paraId="6A918AA0" w14:textId="77777777" w:rsidR="009C414D" w:rsidRDefault="009C414D" w:rsidP="00764E96">
      <w:pPr>
        <w:pStyle w:val="Paragraphedeliste"/>
        <w:ind w:left="1080"/>
        <w:rPr>
          <w:b/>
          <w:bCs/>
          <w:sz w:val="28"/>
          <w:szCs w:val="28"/>
        </w:rPr>
      </w:pPr>
    </w:p>
    <w:p w14:paraId="09B4953A" w14:textId="77777777" w:rsidR="009C414D" w:rsidRDefault="009C414D" w:rsidP="00764E96">
      <w:pPr>
        <w:pStyle w:val="Paragraphedeliste"/>
        <w:ind w:left="1080"/>
        <w:rPr>
          <w:b/>
          <w:bCs/>
          <w:sz w:val="28"/>
          <w:szCs w:val="28"/>
        </w:rPr>
      </w:pPr>
    </w:p>
    <w:p w14:paraId="3D4827AB" w14:textId="77777777" w:rsidR="009C414D" w:rsidRPr="00AB3BF4" w:rsidRDefault="009C414D" w:rsidP="00764E96">
      <w:pPr>
        <w:pStyle w:val="Paragraphedeliste"/>
        <w:ind w:left="1080"/>
        <w:rPr>
          <w:b/>
          <w:bCs/>
          <w:sz w:val="28"/>
          <w:szCs w:val="28"/>
        </w:rPr>
      </w:pPr>
    </w:p>
    <w:p w14:paraId="7E6EA305" w14:textId="77777777" w:rsidR="00750004" w:rsidRPr="00AB3BF4" w:rsidRDefault="00750004" w:rsidP="009A052D">
      <w:pPr>
        <w:pStyle w:val="Paragraphedeliste"/>
        <w:numPr>
          <w:ilvl w:val="0"/>
          <w:numId w:val="6"/>
        </w:numPr>
        <w:rPr>
          <w:b/>
          <w:bCs/>
          <w:sz w:val="28"/>
          <w:szCs w:val="28"/>
        </w:rPr>
      </w:pPr>
      <w:r w:rsidRPr="00AB3BF4">
        <w:rPr>
          <w:b/>
          <w:bCs/>
          <w:sz w:val="28"/>
          <w:szCs w:val="28"/>
        </w:rPr>
        <w:lastRenderedPageBreak/>
        <w:t>Description et analyse</w:t>
      </w:r>
    </w:p>
    <w:p w14:paraId="36D2D2AE" w14:textId="75D2943C" w:rsidR="00336848" w:rsidRPr="00955C19" w:rsidRDefault="004417A6" w:rsidP="00955C19">
      <w:pPr>
        <w:pStyle w:val="Paragraphedeliste"/>
        <w:numPr>
          <w:ilvl w:val="0"/>
          <w:numId w:val="13"/>
        </w:numPr>
        <w:rPr>
          <w:b/>
          <w:bCs/>
        </w:rPr>
      </w:pPr>
      <w:r>
        <w:rPr>
          <w:b/>
          <w:bCs/>
        </w:rPr>
        <w:t>L</w:t>
      </w:r>
      <w:r w:rsidR="00562788" w:rsidRPr="00955C19">
        <w:rPr>
          <w:b/>
          <w:bCs/>
        </w:rPr>
        <w:t>’école et de son environnement</w:t>
      </w:r>
      <w:r w:rsidR="007C4057" w:rsidRPr="00955C19">
        <w:rPr>
          <w:b/>
          <w:bCs/>
        </w:rPr>
        <w:t xml:space="preserve"> </w:t>
      </w:r>
      <w:r w:rsidR="004812DC" w:rsidRPr="00955C19">
        <w:rPr>
          <w:b/>
          <w:bCs/>
        </w:rPr>
        <w:t>(éléments de contexte)</w:t>
      </w:r>
    </w:p>
    <w:p w14:paraId="6DBA8888" w14:textId="76421453" w:rsidR="0032490E" w:rsidRDefault="007C4057" w:rsidP="007C4057">
      <w:pPr>
        <w:ind w:left="360"/>
        <w:rPr>
          <w:b/>
          <w:bCs/>
          <w:color w:val="00B050"/>
        </w:rPr>
      </w:pPr>
      <w:r w:rsidRPr="000773A9">
        <w:rPr>
          <w:i/>
          <w:iCs/>
          <w:color w:val="00B050"/>
        </w:rPr>
        <w:t xml:space="preserve">Il est à noter que </w:t>
      </w:r>
      <w:r w:rsidR="004417A6">
        <w:rPr>
          <w:i/>
          <w:iCs/>
          <w:color w:val="00B050"/>
        </w:rPr>
        <w:t>l</w:t>
      </w:r>
      <w:r w:rsidR="00F30891" w:rsidRPr="000773A9">
        <w:rPr>
          <w:i/>
          <w:iCs/>
          <w:color w:val="00B050"/>
        </w:rPr>
        <w:t xml:space="preserve">es informations </w:t>
      </w:r>
      <w:r w:rsidR="006962AB" w:rsidRPr="000773A9">
        <w:rPr>
          <w:i/>
          <w:iCs/>
          <w:color w:val="00B050"/>
        </w:rPr>
        <w:t>de cette première section n’entre</w:t>
      </w:r>
      <w:r w:rsidR="004417A6">
        <w:rPr>
          <w:i/>
          <w:iCs/>
          <w:color w:val="00B050"/>
        </w:rPr>
        <w:t>nt</w:t>
      </w:r>
      <w:r w:rsidR="00FB2CEC" w:rsidRPr="000773A9">
        <w:rPr>
          <w:i/>
          <w:iCs/>
          <w:color w:val="00B050"/>
        </w:rPr>
        <w:t xml:space="preserve"> </w:t>
      </w:r>
      <w:r w:rsidR="006962AB" w:rsidRPr="000773A9">
        <w:rPr>
          <w:i/>
          <w:iCs/>
          <w:color w:val="00B050"/>
        </w:rPr>
        <w:t>pas dans les critères d’évaluation à proprement</w:t>
      </w:r>
      <w:r w:rsidR="001E546B">
        <w:rPr>
          <w:i/>
          <w:iCs/>
          <w:color w:val="00B050"/>
        </w:rPr>
        <w:t xml:space="preserve"> parler</w:t>
      </w:r>
      <w:r w:rsidR="00134C51" w:rsidRPr="000773A9">
        <w:rPr>
          <w:i/>
          <w:iCs/>
          <w:color w:val="00B050"/>
        </w:rPr>
        <w:t xml:space="preserve">. </w:t>
      </w:r>
      <w:r w:rsidR="004417A6">
        <w:rPr>
          <w:i/>
          <w:iCs/>
          <w:color w:val="00B050"/>
        </w:rPr>
        <w:t xml:space="preserve">Ils sont relatifs à l’école dans sa globalité, au-delà de la ou des formations qui sont l’objet de la demande d’accréditation. </w:t>
      </w:r>
      <w:r w:rsidR="00B878BA" w:rsidRPr="000773A9">
        <w:rPr>
          <w:i/>
          <w:iCs/>
          <w:color w:val="00B050"/>
        </w:rPr>
        <w:t xml:space="preserve">Ces </w:t>
      </w:r>
      <w:r w:rsidR="006962AB" w:rsidRPr="000773A9">
        <w:rPr>
          <w:i/>
          <w:iCs/>
          <w:color w:val="00B050"/>
        </w:rPr>
        <w:t xml:space="preserve">éléments de contexte </w:t>
      </w:r>
      <w:r w:rsidR="00B878BA" w:rsidRPr="000773A9">
        <w:rPr>
          <w:i/>
          <w:iCs/>
          <w:color w:val="00B050"/>
        </w:rPr>
        <w:t xml:space="preserve">constituent un caractère </w:t>
      </w:r>
      <w:r w:rsidR="006962AB" w:rsidRPr="000773A9">
        <w:rPr>
          <w:i/>
          <w:iCs/>
          <w:color w:val="00B050"/>
        </w:rPr>
        <w:t xml:space="preserve">indispensable à la bonne </w:t>
      </w:r>
      <w:r w:rsidR="000F757D" w:rsidRPr="000773A9">
        <w:rPr>
          <w:i/>
          <w:iCs/>
          <w:color w:val="00B050"/>
        </w:rPr>
        <w:t xml:space="preserve">compréhension </w:t>
      </w:r>
      <w:r w:rsidR="006962AB" w:rsidRPr="000773A9">
        <w:rPr>
          <w:i/>
          <w:iCs/>
          <w:color w:val="00B050"/>
        </w:rPr>
        <w:t>d</w:t>
      </w:r>
      <w:r w:rsidR="00C247F4" w:rsidRPr="000773A9">
        <w:rPr>
          <w:i/>
          <w:iCs/>
          <w:color w:val="00B050"/>
        </w:rPr>
        <w:t xml:space="preserve">e </w:t>
      </w:r>
      <w:r w:rsidR="00AD586D">
        <w:rPr>
          <w:i/>
          <w:iCs/>
          <w:color w:val="00B050"/>
        </w:rPr>
        <w:t>l’offre</w:t>
      </w:r>
      <w:r w:rsidR="00216FDD">
        <w:rPr>
          <w:i/>
          <w:iCs/>
          <w:color w:val="00B050"/>
        </w:rPr>
        <w:t xml:space="preserve"> </w:t>
      </w:r>
      <w:r w:rsidR="00C247F4" w:rsidRPr="000773A9">
        <w:rPr>
          <w:i/>
          <w:iCs/>
          <w:color w:val="00B050"/>
        </w:rPr>
        <w:t>de formations</w:t>
      </w:r>
      <w:r w:rsidR="00C247F4" w:rsidRPr="000773A9">
        <w:rPr>
          <w:b/>
          <w:bCs/>
          <w:color w:val="00B050"/>
        </w:rPr>
        <w:t xml:space="preserve">. </w:t>
      </w:r>
    </w:p>
    <w:p w14:paraId="1CC8B0EC" w14:textId="625074B0" w:rsidR="00BE0DB6" w:rsidRDefault="004272B4" w:rsidP="00367DB5">
      <w:pPr>
        <w:spacing w:after="0"/>
        <w:ind w:left="720"/>
      </w:pPr>
      <w:r w:rsidRPr="00DC71C1">
        <w:t xml:space="preserve">A.1. </w:t>
      </w:r>
      <w:r w:rsidR="00E14131" w:rsidRPr="00DC71C1">
        <w:t xml:space="preserve"> </w:t>
      </w:r>
      <w:r w:rsidR="00BE0DB6" w:rsidRPr="00DC71C1">
        <w:t>I</w:t>
      </w:r>
      <w:r w:rsidR="004266F7" w:rsidRPr="00DC71C1">
        <w:t>dentité</w:t>
      </w:r>
      <w:r w:rsidR="00BE0DB6" w:rsidRPr="00DC71C1">
        <w:t xml:space="preserve"> et autonomie</w:t>
      </w:r>
      <w:r w:rsidR="0095398F" w:rsidRPr="00DC71C1">
        <w:t xml:space="preserve"> de l’école</w:t>
      </w:r>
    </w:p>
    <w:p w14:paraId="67938E33" w14:textId="5EC6F89C" w:rsidR="00C60FC6" w:rsidRDefault="00D20077" w:rsidP="00153F91">
      <w:pPr>
        <w:spacing w:after="0"/>
        <w:ind w:left="720"/>
      </w:pPr>
      <w:r w:rsidRPr="009F4A6F">
        <w:rPr>
          <w:color w:val="3C786A"/>
        </w:rPr>
        <w:t>Eléments</w:t>
      </w:r>
      <w:r w:rsidR="00153F91">
        <w:rPr>
          <w:color w:val="3C786A"/>
        </w:rPr>
        <w:t xml:space="preserve"> complémentaires</w:t>
      </w:r>
      <w:r w:rsidR="00A05651">
        <w:rPr>
          <w:color w:val="3C786A"/>
        </w:rPr>
        <w:t xml:space="preserve"> </w:t>
      </w:r>
      <w:r w:rsidR="00116425">
        <w:rPr>
          <w:color w:val="3C786A"/>
        </w:rPr>
        <w:t xml:space="preserve">suggérés </w:t>
      </w:r>
      <w:r w:rsidR="00116425" w:rsidRPr="009F4A6F">
        <w:rPr>
          <w:color w:val="3C786A"/>
        </w:rPr>
        <w:t>:</w:t>
      </w:r>
      <w:r w:rsidR="0032490E" w:rsidRPr="009F4A6F">
        <w:rPr>
          <w:color w:val="3C786A"/>
        </w:rPr>
        <w:t xml:space="preserve"> statuts, contrat d’objectif, …</w:t>
      </w:r>
    </w:p>
    <w:p w14:paraId="3DD91285" w14:textId="77777777" w:rsidR="00A05651" w:rsidRDefault="00A05651" w:rsidP="00C707BC">
      <w:pPr>
        <w:spacing w:after="0"/>
        <w:ind w:left="708"/>
      </w:pPr>
    </w:p>
    <w:p w14:paraId="49473B78" w14:textId="213D0AEE" w:rsidR="00C707BC" w:rsidRPr="00DC71C1" w:rsidRDefault="00C707BC" w:rsidP="00C707BC">
      <w:pPr>
        <w:spacing w:after="0"/>
        <w:ind w:left="708"/>
      </w:pPr>
      <w:r w:rsidRPr="00DC71C1">
        <w:t>A.</w:t>
      </w:r>
      <w:r>
        <w:t>2</w:t>
      </w:r>
      <w:r w:rsidRPr="00DC71C1">
        <w:t>. Stratégie</w:t>
      </w:r>
    </w:p>
    <w:p w14:paraId="4CC15152" w14:textId="31207936" w:rsidR="00C707BC" w:rsidRPr="00DC71C1" w:rsidRDefault="00C707BC" w:rsidP="00C707BC">
      <w:pPr>
        <w:spacing w:after="0"/>
        <w:ind w:left="1416"/>
      </w:pPr>
      <w:r w:rsidRPr="00DC71C1">
        <w:t>A.</w:t>
      </w:r>
      <w:r>
        <w:t>2</w:t>
      </w:r>
      <w:r w:rsidRPr="00DC71C1">
        <w:t>.1. Plan d’orientation stratégique</w:t>
      </w:r>
    </w:p>
    <w:p w14:paraId="2F5991C1" w14:textId="73F945E5" w:rsidR="00C707BC" w:rsidRDefault="00C707BC" w:rsidP="00C707BC">
      <w:pPr>
        <w:pStyle w:val="Paragraphedeliste"/>
        <w:spacing w:after="0"/>
        <w:ind w:left="1418"/>
      </w:pPr>
      <w:r w:rsidRPr="00DC71C1">
        <w:t>A.</w:t>
      </w:r>
      <w:r>
        <w:t>2</w:t>
      </w:r>
      <w:r w:rsidRPr="00DC71C1">
        <w:t>.2. Responsabilité sociétale et environnementale</w:t>
      </w:r>
    </w:p>
    <w:p w14:paraId="1A396039" w14:textId="742C233B" w:rsidR="00C707BC" w:rsidRDefault="00C707BC" w:rsidP="00C707BC">
      <w:pPr>
        <w:pStyle w:val="Paragraphedeliste"/>
        <w:spacing w:after="0"/>
        <w:ind w:left="0"/>
      </w:pPr>
      <w:r>
        <w:tab/>
      </w:r>
      <w:r w:rsidRPr="009F4A6F">
        <w:rPr>
          <w:color w:val="3C786A"/>
        </w:rPr>
        <w:t xml:space="preserve">Eléments </w:t>
      </w:r>
      <w:r w:rsidR="00153F91">
        <w:rPr>
          <w:color w:val="3C786A"/>
        </w:rPr>
        <w:t xml:space="preserve">complémentaires </w:t>
      </w:r>
      <w:r w:rsidR="001814E0">
        <w:rPr>
          <w:color w:val="3C786A"/>
        </w:rPr>
        <w:t>suggérés</w:t>
      </w:r>
      <w:r w:rsidR="001814E0" w:rsidRPr="009F4A6F">
        <w:rPr>
          <w:color w:val="3C786A"/>
        </w:rPr>
        <w:t> </w:t>
      </w:r>
      <w:r w:rsidRPr="009F4A6F">
        <w:rPr>
          <w:color w:val="3C786A"/>
        </w:rPr>
        <w:t>: note stratégique</w:t>
      </w:r>
    </w:p>
    <w:p w14:paraId="739DF1C1" w14:textId="77777777" w:rsidR="00C707BC" w:rsidRPr="0084052C" w:rsidRDefault="00C707BC" w:rsidP="00367DB5">
      <w:pPr>
        <w:spacing w:after="0"/>
        <w:ind w:left="720"/>
      </w:pPr>
    </w:p>
    <w:p w14:paraId="0E2552A5" w14:textId="4B4AB3DF" w:rsidR="004B272C" w:rsidRPr="00510FB0" w:rsidRDefault="004272B4" w:rsidP="00367DB5">
      <w:pPr>
        <w:spacing w:after="0"/>
        <w:ind w:left="720"/>
      </w:pPr>
      <w:r w:rsidRPr="00510FB0">
        <w:t>A.</w:t>
      </w:r>
      <w:r w:rsidR="00510FB0">
        <w:t>3</w:t>
      </w:r>
      <w:r w:rsidRPr="00510FB0">
        <w:t xml:space="preserve">. </w:t>
      </w:r>
      <w:r w:rsidR="00DD6F24" w:rsidRPr="00510FB0">
        <w:t>Gouvernance</w:t>
      </w:r>
      <w:r w:rsidR="004266F7" w:rsidRPr="00510FB0">
        <w:t xml:space="preserve"> </w:t>
      </w:r>
    </w:p>
    <w:p w14:paraId="4308E191" w14:textId="74E1C3A8" w:rsidR="00396591" w:rsidRPr="00510FB0" w:rsidRDefault="004272B4" w:rsidP="008C124F">
      <w:pPr>
        <w:spacing w:after="0"/>
        <w:ind w:left="1418"/>
      </w:pPr>
      <w:r w:rsidRPr="00510FB0">
        <w:t>A.</w:t>
      </w:r>
      <w:r w:rsidR="00510FB0">
        <w:t>3</w:t>
      </w:r>
      <w:r w:rsidR="00B1202A" w:rsidRPr="00510FB0">
        <w:t>.</w:t>
      </w:r>
      <w:r w:rsidR="008B363B" w:rsidRPr="00510FB0">
        <w:t xml:space="preserve">1. </w:t>
      </w:r>
      <w:r w:rsidR="00DD506D" w:rsidRPr="00510FB0">
        <w:t>Instances</w:t>
      </w:r>
      <w:r w:rsidR="00396591" w:rsidRPr="00510FB0">
        <w:t xml:space="preserve"> d’administration</w:t>
      </w:r>
    </w:p>
    <w:p w14:paraId="6EA28FBD" w14:textId="0EFB64A8" w:rsidR="00396591" w:rsidRPr="00510FB0" w:rsidRDefault="008C124F" w:rsidP="008C124F">
      <w:pPr>
        <w:spacing w:after="0"/>
        <w:ind w:left="1396"/>
      </w:pPr>
      <w:r w:rsidRPr="00510FB0">
        <w:t>A</w:t>
      </w:r>
      <w:r w:rsidR="008B363B" w:rsidRPr="00510FB0">
        <w:t>.</w:t>
      </w:r>
      <w:r w:rsidR="00510FB0">
        <w:t>3</w:t>
      </w:r>
      <w:r w:rsidR="008B363B" w:rsidRPr="00510FB0">
        <w:t xml:space="preserve">.2. </w:t>
      </w:r>
      <w:r w:rsidR="00DD506D" w:rsidRPr="00510FB0">
        <w:t>Organisation</w:t>
      </w:r>
      <w:r w:rsidR="00396591" w:rsidRPr="00510FB0">
        <w:t xml:space="preserve"> de l’école</w:t>
      </w:r>
    </w:p>
    <w:p w14:paraId="291438CC" w14:textId="1CD24D8C" w:rsidR="008C124F" w:rsidRDefault="008C124F" w:rsidP="008C124F">
      <w:pPr>
        <w:spacing w:after="0"/>
        <w:ind w:left="1394"/>
      </w:pPr>
      <w:r w:rsidRPr="006A5D31">
        <w:t>A.</w:t>
      </w:r>
      <w:r w:rsidR="00510FB0">
        <w:t>3</w:t>
      </w:r>
      <w:r w:rsidR="008B363B" w:rsidRPr="006A5D31">
        <w:t xml:space="preserve">.3. </w:t>
      </w:r>
      <w:r w:rsidR="00DD506D" w:rsidRPr="006A5D31">
        <w:t>Communication</w:t>
      </w:r>
      <w:r w:rsidR="00072C03" w:rsidRPr="006A5D31">
        <w:t xml:space="preserve"> </w:t>
      </w:r>
    </w:p>
    <w:p w14:paraId="174FF216" w14:textId="03A919E2" w:rsidR="0032490E" w:rsidRDefault="00D20077" w:rsidP="009F4A6F">
      <w:pPr>
        <w:spacing w:after="0"/>
        <w:ind w:left="720"/>
        <w:rPr>
          <w:color w:val="3C786A"/>
        </w:rPr>
      </w:pPr>
      <w:r w:rsidRPr="009F4A6F">
        <w:rPr>
          <w:color w:val="3C786A"/>
        </w:rPr>
        <w:t xml:space="preserve">Eléments </w:t>
      </w:r>
      <w:r w:rsidR="00153F91">
        <w:rPr>
          <w:color w:val="3C786A"/>
        </w:rPr>
        <w:t xml:space="preserve">complémentaires </w:t>
      </w:r>
      <w:r w:rsidR="00081A4B">
        <w:rPr>
          <w:color w:val="3C786A"/>
        </w:rPr>
        <w:t>suggérés</w:t>
      </w:r>
      <w:r w:rsidR="00081A4B" w:rsidRPr="009F4A6F">
        <w:rPr>
          <w:color w:val="3C786A"/>
        </w:rPr>
        <w:t> </w:t>
      </w:r>
      <w:r w:rsidR="00215EF5" w:rsidRPr="009F4A6F">
        <w:rPr>
          <w:color w:val="3C786A"/>
        </w:rPr>
        <w:t xml:space="preserve">: organigramme, </w:t>
      </w:r>
      <w:r w:rsidR="00726C0B" w:rsidRPr="009F4A6F">
        <w:rPr>
          <w:color w:val="3C786A"/>
        </w:rPr>
        <w:t xml:space="preserve">règlement intérieur, </w:t>
      </w:r>
      <w:r w:rsidR="00215EF5" w:rsidRPr="009F4A6F">
        <w:rPr>
          <w:color w:val="3C786A"/>
        </w:rPr>
        <w:t>composition des conseils, …</w:t>
      </w:r>
    </w:p>
    <w:p w14:paraId="46100FD2" w14:textId="77777777" w:rsidR="009F4A6F" w:rsidRPr="006A5D31" w:rsidRDefault="009F4A6F" w:rsidP="004F7163">
      <w:pPr>
        <w:spacing w:after="0"/>
        <w:ind w:left="720"/>
      </w:pPr>
    </w:p>
    <w:p w14:paraId="333FB1F4" w14:textId="7EA63EBC" w:rsidR="008C312C" w:rsidRPr="00C125E7" w:rsidRDefault="002F7506" w:rsidP="00367DB5">
      <w:pPr>
        <w:spacing w:after="0"/>
        <w:ind w:left="708"/>
      </w:pPr>
      <w:r w:rsidRPr="00C125E7">
        <w:t>A</w:t>
      </w:r>
      <w:r w:rsidR="00FC678C" w:rsidRPr="00C125E7">
        <w:t xml:space="preserve">.4. </w:t>
      </w:r>
      <w:r w:rsidR="008C312C" w:rsidRPr="00C125E7">
        <w:t xml:space="preserve">Missions </w:t>
      </w:r>
      <w:r w:rsidR="0068642C" w:rsidRPr="00C125E7">
        <w:t xml:space="preserve">et offre de formation </w:t>
      </w:r>
      <w:r w:rsidR="008C312C" w:rsidRPr="00C125E7">
        <w:t>de l’école</w:t>
      </w:r>
    </w:p>
    <w:p w14:paraId="7708EB4D" w14:textId="4AC1B978" w:rsidR="0068642C" w:rsidRPr="00C125E7" w:rsidRDefault="002F7506" w:rsidP="00367DB5">
      <w:pPr>
        <w:pStyle w:val="Paragraphedeliste"/>
        <w:spacing w:after="0"/>
        <w:ind w:left="1416"/>
      </w:pPr>
      <w:r w:rsidRPr="00C125E7">
        <w:t>A</w:t>
      </w:r>
      <w:r w:rsidR="00FC678C" w:rsidRPr="00C125E7">
        <w:t xml:space="preserve">.4.1. </w:t>
      </w:r>
      <w:r w:rsidR="0068642C" w:rsidRPr="00C125E7">
        <w:t>Missions de l’école</w:t>
      </w:r>
    </w:p>
    <w:p w14:paraId="1D8104A1" w14:textId="04F4FE26" w:rsidR="0068642C" w:rsidRPr="00C125E7" w:rsidRDefault="00A93C7F" w:rsidP="00367DB5">
      <w:pPr>
        <w:pStyle w:val="Paragraphedeliste"/>
        <w:spacing w:after="0"/>
        <w:ind w:left="1416"/>
      </w:pPr>
      <w:r w:rsidRPr="00C125E7">
        <w:t>A.</w:t>
      </w:r>
      <w:r w:rsidR="00714038" w:rsidRPr="00C125E7">
        <w:t xml:space="preserve">4.2. </w:t>
      </w:r>
      <w:r w:rsidR="0068642C" w:rsidRPr="00C125E7">
        <w:t>Offre de formation</w:t>
      </w:r>
    </w:p>
    <w:p w14:paraId="70CBC5C2" w14:textId="45C6AB35" w:rsidR="00212B42" w:rsidRPr="00C125E7" w:rsidRDefault="00A93C7F" w:rsidP="00367DB5">
      <w:pPr>
        <w:pStyle w:val="Paragraphedeliste"/>
        <w:spacing w:after="0"/>
        <w:ind w:left="1416"/>
      </w:pPr>
      <w:r w:rsidRPr="00C125E7">
        <w:t>A</w:t>
      </w:r>
      <w:r w:rsidR="00714038" w:rsidRPr="00C125E7">
        <w:t xml:space="preserve">.4.3. </w:t>
      </w:r>
      <w:r w:rsidR="00212B42" w:rsidRPr="00C125E7">
        <w:t xml:space="preserve">Politique de recherche </w:t>
      </w:r>
    </w:p>
    <w:p w14:paraId="42C997F6" w14:textId="71A2DAF4" w:rsidR="00181A0D" w:rsidRDefault="00A93C7F" w:rsidP="00367DB5">
      <w:pPr>
        <w:pStyle w:val="Paragraphedeliste"/>
        <w:spacing w:after="0"/>
        <w:ind w:left="1416"/>
      </w:pPr>
      <w:r w:rsidRPr="00C125E7">
        <w:t>A</w:t>
      </w:r>
      <w:r w:rsidR="00714038" w:rsidRPr="00C125E7">
        <w:t xml:space="preserve">.4.4. </w:t>
      </w:r>
      <w:r w:rsidR="00181A0D" w:rsidRPr="00C125E7">
        <w:t>Evolutions marquantes</w:t>
      </w:r>
    </w:p>
    <w:p w14:paraId="1F1B23D7" w14:textId="4358F6EA" w:rsidR="00215EF5" w:rsidRDefault="00D20077" w:rsidP="00C15761">
      <w:pPr>
        <w:pStyle w:val="Paragraphedeliste"/>
        <w:spacing w:after="0"/>
        <w:ind w:left="709"/>
        <w:rPr>
          <w:color w:val="3C786A"/>
        </w:rPr>
      </w:pPr>
      <w:r w:rsidRPr="004F7163">
        <w:rPr>
          <w:color w:val="3C786A"/>
        </w:rPr>
        <w:t xml:space="preserve">Eléments </w:t>
      </w:r>
      <w:r w:rsidR="004369C7">
        <w:rPr>
          <w:color w:val="3C786A"/>
        </w:rPr>
        <w:t xml:space="preserve">complémentaires </w:t>
      </w:r>
      <w:r w:rsidR="00081A4B">
        <w:rPr>
          <w:color w:val="3C786A"/>
        </w:rPr>
        <w:t>suggérés</w:t>
      </w:r>
      <w:r w:rsidR="00081A4B" w:rsidRPr="004F7163">
        <w:rPr>
          <w:color w:val="3C786A"/>
        </w:rPr>
        <w:t> </w:t>
      </w:r>
      <w:r w:rsidR="00215EF5" w:rsidRPr="004F7163">
        <w:rPr>
          <w:color w:val="3C786A"/>
        </w:rPr>
        <w:t>: liste des publiants de l’école et nombre de publications</w:t>
      </w:r>
      <w:r w:rsidRPr="004F7163">
        <w:rPr>
          <w:color w:val="3C786A"/>
        </w:rPr>
        <w:t>, tableau de données</w:t>
      </w:r>
      <w:r w:rsidR="009A0948">
        <w:rPr>
          <w:color w:val="3C786A"/>
        </w:rPr>
        <w:t>, CR des instances, etc.</w:t>
      </w:r>
    </w:p>
    <w:p w14:paraId="7ED462F8" w14:textId="77777777" w:rsidR="004F7163" w:rsidRPr="00C125E7" w:rsidRDefault="004F7163" w:rsidP="00116425">
      <w:pPr>
        <w:pStyle w:val="Paragraphedeliste"/>
        <w:spacing w:after="0"/>
        <w:ind w:left="0"/>
      </w:pPr>
    </w:p>
    <w:p w14:paraId="42711DD2" w14:textId="0FB6C685" w:rsidR="00FB2CEC" w:rsidRPr="000773A9" w:rsidRDefault="00A93C7F" w:rsidP="00381E77">
      <w:pPr>
        <w:ind w:left="708"/>
        <w:rPr>
          <w:i/>
          <w:iCs/>
          <w:color w:val="00B050"/>
        </w:rPr>
      </w:pPr>
      <w:r w:rsidRPr="005C21C0">
        <w:t>A</w:t>
      </w:r>
      <w:r w:rsidR="00B9366D" w:rsidRPr="005C21C0">
        <w:t xml:space="preserve">.5. </w:t>
      </w:r>
      <w:r w:rsidR="00E51DD0" w:rsidRPr="005C21C0">
        <w:t>Ressources</w:t>
      </w:r>
      <w:r w:rsidR="007A1AC9" w:rsidRPr="005C21C0">
        <w:t xml:space="preserve"> </w:t>
      </w:r>
    </w:p>
    <w:p w14:paraId="6EBC44F3" w14:textId="71EA83CD" w:rsidR="00B304A9" w:rsidRPr="005C21C0" w:rsidRDefault="00B7057B" w:rsidP="00AB3BF4">
      <w:pPr>
        <w:pStyle w:val="Paragraphedeliste"/>
        <w:ind w:left="1416"/>
      </w:pPr>
      <w:r w:rsidRPr="005C21C0">
        <w:t xml:space="preserve">A.5.1. </w:t>
      </w:r>
      <w:r w:rsidR="0032490E">
        <w:t>Ressources humaines</w:t>
      </w:r>
      <w:r w:rsidR="009273CA">
        <w:t xml:space="preserve"> </w:t>
      </w:r>
    </w:p>
    <w:p w14:paraId="7ED995FE" w14:textId="4CCF451C" w:rsidR="00B304A9" w:rsidRPr="005C21C0" w:rsidRDefault="00A93C7F" w:rsidP="00AB3BF4">
      <w:pPr>
        <w:pStyle w:val="Paragraphedeliste"/>
        <w:ind w:left="1416"/>
      </w:pPr>
      <w:r w:rsidRPr="005C21C0">
        <w:t>A</w:t>
      </w:r>
      <w:r w:rsidR="00B7057B" w:rsidRPr="005C21C0">
        <w:t>.5.</w:t>
      </w:r>
      <w:r w:rsidR="00AB3BF4" w:rsidRPr="005C21C0">
        <w:t xml:space="preserve">2. </w:t>
      </w:r>
      <w:r w:rsidR="0032490E" w:rsidRPr="00116425">
        <w:rPr>
          <w:color w:val="000000" w:themeColor="text1"/>
        </w:rPr>
        <w:t>Ressources matérielles, locaux et personnels de soutien à l’enseignement</w:t>
      </w:r>
      <w:r w:rsidR="0032490E" w:rsidRPr="00116425" w:rsidDel="0032490E">
        <w:rPr>
          <w:color w:val="000000" w:themeColor="text1"/>
        </w:rPr>
        <w:t xml:space="preserve"> </w:t>
      </w:r>
    </w:p>
    <w:p w14:paraId="7D8622A9" w14:textId="469B23E7" w:rsidR="00E51DD0" w:rsidRPr="00116425" w:rsidRDefault="00A93C7F" w:rsidP="00AB3BF4">
      <w:pPr>
        <w:pStyle w:val="Paragraphedeliste"/>
        <w:ind w:left="1416"/>
        <w:rPr>
          <w:color w:val="000000" w:themeColor="text1"/>
        </w:rPr>
      </w:pPr>
      <w:r w:rsidRPr="005C21C0">
        <w:t>A</w:t>
      </w:r>
      <w:r w:rsidR="00AB3BF4" w:rsidRPr="005C21C0">
        <w:t xml:space="preserve">.5.3. </w:t>
      </w:r>
      <w:r w:rsidR="0032490E" w:rsidRPr="00116425">
        <w:rPr>
          <w:color w:val="000000" w:themeColor="text1"/>
        </w:rPr>
        <w:t>Budget et moyens financiers</w:t>
      </w:r>
      <w:r w:rsidR="0032490E" w:rsidRPr="00116425" w:rsidDel="0032490E">
        <w:rPr>
          <w:color w:val="000000" w:themeColor="text1"/>
        </w:rPr>
        <w:t xml:space="preserve"> </w:t>
      </w:r>
    </w:p>
    <w:p w14:paraId="4BC31C5A" w14:textId="48BD41DD" w:rsidR="00795A01" w:rsidRPr="00116425" w:rsidRDefault="00795A01" w:rsidP="00AB3BF4">
      <w:pPr>
        <w:pStyle w:val="Paragraphedeliste"/>
        <w:ind w:left="1416"/>
        <w:rPr>
          <w:color w:val="000000" w:themeColor="text1"/>
        </w:rPr>
      </w:pPr>
      <w:r w:rsidRPr="00116425">
        <w:rPr>
          <w:color w:val="000000" w:themeColor="text1"/>
        </w:rPr>
        <w:t>A.5.</w:t>
      </w:r>
      <w:r w:rsidR="0032490E" w:rsidRPr="00116425">
        <w:rPr>
          <w:color w:val="000000" w:themeColor="text1"/>
        </w:rPr>
        <w:t>4</w:t>
      </w:r>
      <w:r w:rsidR="003B6456" w:rsidRPr="00116425">
        <w:rPr>
          <w:color w:val="000000" w:themeColor="text1"/>
        </w:rPr>
        <w:t>. Partenariats</w:t>
      </w:r>
      <w:r w:rsidR="009273CA" w:rsidRPr="00116425">
        <w:rPr>
          <w:color w:val="000000" w:themeColor="text1"/>
        </w:rPr>
        <w:t xml:space="preserve"> </w:t>
      </w:r>
    </w:p>
    <w:p w14:paraId="7381DE68" w14:textId="77777777" w:rsidR="00215EF5" w:rsidRPr="008D6A16" w:rsidRDefault="00215EF5" w:rsidP="00621541">
      <w:pPr>
        <w:pStyle w:val="Paragraphedeliste"/>
        <w:ind w:left="708"/>
        <w:rPr>
          <w:color w:val="3C786A"/>
        </w:rPr>
      </w:pPr>
    </w:p>
    <w:p w14:paraId="643CFEFD" w14:textId="7A4E9FA5" w:rsidR="00215EF5" w:rsidRPr="008D6A16" w:rsidRDefault="00D20077" w:rsidP="008D6A16">
      <w:pPr>
        <w:pStyle w:val="Paragraphedeliste"/>
        <w:spacing w:after="0"/>
        <w:ind w:left="708"/>
        <w:rPr>
          <w:color w:val="3C786A"/>
        </w:rPr>
      </w:pPr>
      <w:r w:rsidRPr="008D6A16">
        <w:rPr>
          <w:color w:val="3C786A"/>
        </w:rPr>
        <w:t xml:space="preserve">Eléments </w:t>
      </w:r>
      <w:r w:rsidR="00826ED0">
        <w:rPr>
          <w:color w:val="3C786A"/>
        </w:rPr>
        <w:t xml:space="preserve">complémentaires </w:t>
      </w:r>
      <w:r w:rsidR="008C055F">
        <w:rPr>
          <w:color w:val="3C786A"/>
        </w:rPr>
        <w:t>suggérés</w:t>
      </w:r>
      <w:r w:rsidRPr="008D6A16">
        <w:rPr>
          <w:color w:val="3C786A"/>
        </w:rPr>
        <w:t> </w:t>
      </w:r>
      <w:r w:rsidR="00215EF5" w:rsidRPr="008D6A16">
        <w:rPr>
          <w:color w:val="3C786A"/>
        </w:rPr>
        <w:t xml:space="preserve">: </w:t>
      </w:r>
      <w:r w:rsidRPr="008D6A16">
        <w:rPr>
          <w:color w:val="3C786A"/>
        </w:rPr>
        <w:t xml:space="preserve">tableau de données, </w:t>
      </w:r>
      <w:r w:rsidR="00215EF5" w:rsidRPr="008D6A16">
        <w:rPr>
          <w:color w:val="3C786A"/>
        </w:rPr>
        <w:t>budget de l’école, origine des ressources, coût estimé de la formation, frais de scolarité</w:t>
      </w:r>
      <w:r w:rsidRPr="008D6A16">
        <w:rPr>
          <w:color w:val="3C786A"/>
        </w:rPr>
        <w:t xml:space="preserve"> ; liste des partenaires </w:t>
      </w:r>
      <w:r w:rsidR="002B1D23">
        <w:rPr>
          <w:color w:val="3C786A"/>
        </w:rPr>
        <w:t xml:space="preserve">principaux </w:t>
      </w:r>
      <w:r w:rsidRPr="008D6A16">
        <w:rPr>
          <w:color w:val="3C786A"/>
        </w:rPr>
        <w:t>nationaux, internationaux, académiques ou socio-économiques, avec éventuellement les conventions associées</w:t>
      </w:r>
      <w:r w:rsidR="00E44931">
        <w:rPr>
          <w:color w:val="3C786A"/>
        </w:rPr>
        <w:t xml:space="preserve"> si pertinent</w:t>
      </w:r>
      <w:r w:rsidRPr="008D6A16">
        <w:rPr>
          <w:color w:val="3C786A"/>
        </w:rPr>
        <w:t>.</w:t>
      </w:r>
    </w:p>
    <w:p w14:paraId="68691603" w14:textId="77777777" w:rsidR="00A14535" w:rsidRPr="008D6A16" w:rsidRDefault="00A14535" w:rsidP="00621541">
      <w:pPr>
        <w:pStyle w:val="Paragraphedeliste"/>
        <w:ind w:left="708"/>
        <w:rPr>
          <w:color w:val="3C786A"/>
        </w:rPr>
      </w:pPr>
    </w:p>
    <w:p w14:paraId="545A6B7A" w14:textId="4B06A1C6" w:rsidR="00C247F4" w:rsidRDefault="00F75469" w:rsidP="00621541">
      <w:pPr>
        <w:pStyle w:val="Paragraphedeliste"/>
        <w:ind w:left="708"/>
      </w:pPr>
      <w:r>
        <w:t>A.6. Analyse SWOT</w:t>
      </w:r>
    </w:p>
    <w:p w14:paraId="4AE83060" w14:textId="77777777" w:rsidR="00333005" w:rsidRPr="00386B84" w:rsidRDefault="00333005" w:rsidP="00741649">
      <w:pPr>
        <w:pStyle w:val="Paragraphedeliste"/>
        <w:ind w:left="400"/>
      </w:pPr>
    </w:p>
    <w:p w14:paraId="2ED98CA7" w14:textId="212101A5" w:rsidR="006D2408" w:rsidRDefault="006D2408" w:rsidP="00E049B7">
      <w:pPr>
        <w:pStyle w:val="Paragraphedeliste"/>
        <w:numPr>
          <w:ilvl w:val="0"/>
          <w:numId w:val="13"/>
        </w:numPr>
        <w:rPr>
          <w:b/>
          <w:bCs/>
        </w:rPr>
      </w:pPr>
      <w:r w:rsidRPr="00E049B7">
        <w:rPr>
          <w:b/>
          <w:bCs/>
        </w:rPr>
        <w:t>Les formations</w:t>
      </w:r>
    </w:p>
    <w:p w14:paraId="58698541" w14:textId="4DDE9AAD" w:rsidR="00BC25D2" w:rsidRPr="00BC0FDD" w:rsidRDefault="00BC25D2" w:rsidP="00BC25D2">
      <w:pPr>
        <w:rPr>
          <w:b/>
          <w:bCs/>
        </w:rPr>
      </w:pPr>
      <w:r w:rsidRPr="00BC0FDD">
        <w:rPr>
          <w:b/>
          <w:bCs/>
        </w:rPr>
        <w:t>Chaque formation fait l’objet d’une partie B spécifique. Une section introductive regroupant les éléments communs à toutes les spécialités pourra être ajoutée au début de chapitre.</w:t>
      </w:r>
    </w:p>
    <w:p w14:paraId="04AEB38A" w14:textId="35E2C9EE" w:rsidR="00BC25D2" w:rsidRDefault="002828C5" w:rsidP="00BC25D2">
      <w:pPr>
        <w:rPr>
          <w:b/>
          <w:bCs/>
        </w:rPr>
      </w:pPr>
      <w:r w:rsidRPr="000346B7">
        <w:rPr>
          <w:b/>
          <w:bCs/>
        </w:rPr>
        <w:t xml:space="preserve"> </w:t>
      </w:r>
      <w:r w:rsidR="00BC25D2" w:rsidRPr="000346B7">
        <w:rPr>
          <w:b/>
          <w:bCs/>
        </w:rPr>
        <w:t xml:space="preserve">B.1 </w:t>
      </w:r>
      <w:r w:rsidR="00411AC9" w:rsidRPr="000346B7">
        <w:rPr>
          <w:b/>
          <w:bCs/>
        </w:rPr>
        <w:t xml:space="preserve">Formation d’ingénieur en (indiquer </w:t>
      </w:r>
      <w:r w:rsidR="00075A73" w:rsidRPr="000346B7">
        <w:rPr>
          <w:b/>
          <w:bCs/>
        </w:rPr>
        <w:t>le nom du diplôme</w:t>
      </w:r>
      <w:r w:rsidR="00411AC9" w:rsidRPr="000346B7">
        <w:rPr>
          <w:b/>
          <w:bCs/>
        </w:rPr>
        <w:t>)</w:t>
      </w:r>
    </w:p>
    <w:p w14:paraId="5ED78BE2" w14:textId="1547CEF2" w:rsidR="007941E9" w:rsidRDefault="008671F1" w:rsidP="00A62662">
      <w:pPr>
        <w:spacing w:after="0"/>
        <w:ind w:left="708"/>
      </w:pPr>
      <w:r>
        <w:t>B</w:t>
      </w:r>
      <w:r w:rsidR="007941E9">
        <w:t xml:space="preserve">.1.1. </w:t>
      </w:r>
      <w:r w:rsidR="00F56C5E">
        <w:t>Objectifs de la formation</w:t>
      </w:r>
    </w:p>
    <w:p w14:paraId="7F74693F" w14:textId="7EDAD721" w:rsidR="00B06777" w:rsidRDefault="00B06777" w:rsidP="00A62662">
      <w:pPr>
        <w:spacing w:after="0"/>
        <w:ind w:left="1416"/>
      </w:pPr>
      <w:r>
        <w:t>B.</w:t>
      </w:r>
      <w:r w:rsidR="00BB0BE6">
        <w:t>1.1</w:t>
      </w:r>
      <w:r w:rsidR="007A059F">
        <w:t xml:space="preserve">.1. </w:t>
      </w:r>
      <w:r w:rsidR="006D2408" w:rsidRPr="00386B84">
        <w:t xml:space="preserve">Besoins en formation du marché du travail et d'autres parties prenantes </w:t>
      </w:r>
      <w:r w:rsidR="00661FE2" w:rsidRPr="00661FE2">
        <w:rPr>
          <w:color w:val="0070C0"/>
        </w:rPr>
        <w:t>(EAFSG 1.1)</w:t>
      </w:r>
    </w:p>
    <w:p w14:paraId="1B0A93B6" w14:textId="3ACE4493" w:rsidR="000D4222" w:rsidRPr="00E227BA" w:rsidRDefault="000D4222" w:rsidP="00E227BA">
      <w:pPr>
        <w:spacing w:after="0"/>
        <w:ind w:left="1416"/>
        <w:rPr>
          <w:color w:val="3C786A"/>
        </w:rPr>
      </w:pPr>
      <w:r w:rsidRPr="00E227BA">
        <w:rPr>
          <w:color w:val="3C786A"/>
        </w:rPr>
        <w:t xml:space="preserve">Eléments de preuve : estimations étayées des besoins, CR d’instances de l’école où sont consultés les secteurs industriels, les organismes pour l’emploi, et autres parties prenantes. Méthodologie et calendrier de consultation, …  </w:t>
      </w:r>
    </w:p>
    <w:p w14:paraId="59DCF305" w14:textId="77777777" w:rsidR="001178F9" w:rsidRDefault="001178F9" w:rsidP="000D4222">
      <w:pPr>
        <w:spacing w:after="0"/>
        <w:ind w:left="708" w:firstLine="708"/>
      </w:pPr>
    </w:p>
    <w:p w14:paraId="3983B7E6" w14:textId="2C7BF630" w:rsidR="006D2408" w:rsidRDefault="00B06777" w:rsidP="000D4222">
      <w:pPr>
        <w:spacing w:after="0"/>
        <w:ind w:left="708" w:firstLine="708"/>
        <w:rPr>
          <w:color w:val="0070C0"/>
        </w:rPr>
      </w:pPr>
      <w:r>
        <w:t>B</w:t>
      </w:r>
      <w:r w:rsidR="00A468A4">
        <w:t>.</w:t>
      </w:r>
      <w:r w:rsidR="00BB0BE6">
        <w:t>1.</w:t>
      </w:r>
      <w:r w:rsidR="007941E9">
        <w:t xml:space="preserve">1. </w:t>
      </w:r>
      <w:r w:rsidR="00BB0BE6">
        <w:t xml:space="preserve">2. </w:t>
      </w:r>
      <w:r w:rsidR="006D2408" w:rsidRPr="00386B84">
        <w:t xml:space="preserve"> Objectifs de la formation </w:t>
      </w:r>
      <w:r w:rsidR="00661FE2" w:rsidRPr="00661FE2">
        <w:rPr>
          <w:color w:val="0070C0"/>
        </w:rPr>
        <w:t>(EAFSG 1.2)</w:t>
      </w:r>
    </w:p>
    <w:p w14:paraId="45122999" w14:textId="77777777" w:rsidR="000D4222" w:rsidRPr="00386B84" w:rsidRDefault="000D4222" w:rsidP="00E227BA">
      <w:pPr>
        <w:spacing w:after="0"/>
        <w:ind w:left="708" w:firstLine="708"/>
      </w:pPr>
    </w:p>
    <w:p w14:paraId="0D32C1AF" w14:textId="55C6974F" w:rsidR="006D2408" w:rsidRDefault="00B05760" w:rsidP="00A62662">
      <w:pPr>
        <w:spacing w:after="0"/>
        <w:ind w:left="708" w:firstLine="708"/>
      </w:pPr>
      <w:r>
        <w:t>B</w:t>
      </w:r>
      <w:r w:rsidR="00AE79BF">
        <w:t>.1.</w:t>
      </w:r>
      <w:r w:rsidR="007941E9">
        <w:t xml:space="preserve">1. </w:t>
      </w:r>
      <w:r w:rsidR="007A059F">
        <w:t xml:space="preserve">3. </w:t>
      </w:r>
      <w:r w:rsidR="006D2408" w:rsidRPr="00386B84">
        <w:t xml:space="preserve"> Acquis de </w:t>
      </w:r>
      <w:r w:rsidR="00E53C0B">
        <w:t xml:space="preserve">la </w:t>
      </w:r>
      <w:r w:rsidR="006D2408" w:rsidRPr="00386B84">
        <w:t xml:space="preserve">formation </w:t>
      </w:r>
      <w:r w:rsidR="00661FE2">
        <w:t>(</w:t>
      </w:r>
      <w:r w:rsidR="00661FE2" w:rsidRPr="00661FE2">
        <w:rPr>
          <w:color w:val="0070C0"/>
        </w:rPr>
        <w:t xml:space="preserve">EAFSG 1.3 </w:t>
      </w:r>
      <w:r w:rsidR="00661FE2">
        <w:t xml:space="preserve">et </w:t>
      </w:r>
      <w:r w:rsidR="00661FE2" w:rsidRPr="00661FE2">
        <w:rPr>
          <w:i/>
          <w:iCs/>
          <w:color w:val="00B050"/>
        </w:rPr>
        <w:t xml:space="preserve">cf. les descripteurs </w:t>
      </w:r>
      <w:r w:rsidR="003E040A">
        <w:rPr>
          <w:i/>
          <w:iCs/>
          <w:color w:val="00B050"/>
        </w:rPr>
        <w:t>de Dublin qui détaille les</w:t>
      </w:r>
      <w:r w:rsidR="001D2121">
        <w:rPr>
          <w:i/>
          <w:iCs/>
          <w:color w:val="00B050"/>
        </w:rPr>
        <w:t xml:space="preserve"> huit compétences prises en compte dans les acquis </w:t>
      </w:r>
      <w:r w:rsidR="00661FE2" w:rsidRPr="00661FE2">
        <w:rPr>
          <w:i/>
          <w:iCs/>
          <w:color w:val="00B050"/>
        </w:rPr>
        <w:t>de la formation</w:t>
      </w:r>
      <w:r w:rsidR="001D2121">
        <w:rPr>
          <w:i/>
          <w:iCs/>
          <w:color w:val="00B050"/>
        </w:rPr>
        <w:t>- cf. annexe 2</w:t>
      </w:r>
      <w:r w:rsidR="00722165">
        <w:rPr>
          <w:i/>
          <w:iCs/>
          <w:color w:val="00B050"/>
        </w:rPr>
        <w:t xml:space="preserve"> les descripteurs de Dublin</w:t>
      </w:r>
      <w:r w:rsidR="00661FE2">
        <w:t xml:space="preserve">) </w:t>
      </w:r>
    </w:p>
    <w:p w14:paraId="1FCEE69D" w14:textId="62D71462" w:rsidR="0095398F" w:rsidRDefault="0095398F" w:rsidP="0095398F">
      <w:pPr>
        <w:spacing w:after="0"/>
        <w:ind w:left="1416" w:firstLine="708"/>
      </w:pPr>
      <w:r>
        <w:t>B.1.1. 3.1. Connaissance et compréhension</w:t>
      </w:r>
    </w:p>
    <w:p w14:paraId="14CD0819" w14:textId="7035CEC9" w:rsidR="0095398F" w:rsidRDefault="0095398F" w:rsidP="0095398F">
      <w:pPr>
        <w:spacing w:after="0"/>
        <w:ind w:left="1416" w:firstLine="708"/>
      </w:pPr>
      <w:r>
        <w:t>B.1.1. 3. 2. Analyse technique</w:t>
      </w:r>
    </w:p>
    <w:p w14:paraId="76F62EDA" w14:textId="5B4AF765" w:rsidR="0095398F" w:rsidRDefault="0095398F" w:rsidP="0095398F">
      <w:pPr>
        <w:spacing w:after="0"/>
        <w:ind w:left="1416" w:firstLine="708"/>
      </w:pPr>
      <w:r>
        <w:t>B.1.1. 3. 3. Conception technique</w:t>
      </w:r>
    </w:p>
    <w:p w14:paraId="6972C2AF" w14:textId="6601B9A0" w:rsidR="0095398F" w:rsidRDefault="0095398F" w:rsidP="0095398F">
      <w:pPr>
        <w:spacing w:after="0"/>
        <w:ind w:left="1416" w:firstLine="708"/>
      </w:pPr>
      <w:r>
        <w:t>B.1.1. 3. 4. Etudes et recherches</w:t>
      </w:r>
    </w:p>
    <w:p w14:paraId="752A0884" w14:textId="6B3B2A74" w:rsidR="0095398F" w:rsidRDefault="0095398F" w:rsidP="0095398F">
      <w:pPr>
        <w:spacing w:after="0"/>
        <w:ind w:left="1416" w:firstLine="708"/>
      </w:pPr>
      <w:r>
        <w:t>B.1.1. 3.</w:t>
      </w:r>
      <w:r w:rsidR="00C82587">
        <w:t xml:space="preserve"> </w:t>
      </w:r>
      <w:r>
        <w:t>5. Pratique de l’ingénierie</w:t>
      </w:r>
    </w:p>
    <w:p w14:paraId="37240DC8" w14:textId="57D8A398" w:rsidR="0095398F" w:rsidRDefault="0095398F" w:rsidP="0095398F">
      <w:pPr>
        <w:spacing w:after="0"/>
        <w:ind w:left="1416" w:firstLine="708"/>
      </w:pPr>
      <w:r>
        <w:t>B.1.1. 3. 6. Prise de décision</w:t>
      </w:r>
    </w:p>
    <w:p w14:paraId="5CFA130E" w14:textId="2D08D703" w:rsidR="0095398F" w:rsidRDefault="0095398F" w:rsidP="0095398F">
      <w:pPr>
        <w:spacing w:after="0"/>
        <w:ind w:left="1416" w:firstLine="708"/>
      </w:pPr>
      <w:r>
        <w:t>B.1.1. 3. 7. Communication et travail en équipe</w:t>
      </w:r>
    </w:p>
    <w:p w14:paraId="0BCDA925" w14:textId="472D4AEE" w:rsidR="0095398F" w:rsidRPr="00386B84" w:rsidRDefault="0095398F" w:rsidP="0095398F">
      <w:pPr>
        <w:spacing w:after="0"/>
        <w:ind w:left="1416" w:firstLine="708"/>
      </w:pPr>
      <w:r>
        <w:t>B.1.1. 3. 8. Apprentissage tout au long de la vie</w:t>
      </w:r>
      <w:r w:rsidRPr="00386B84">
        <w:t xml:space="preserve"> </w:t>
      </w:r>
    </w:p>
    <w:p w14:paraId="59DD4529" w14:textId="77777777" w:rsidR="00BA6136" w:rsidRDefault="00BA6136" w:rsidP="00A62662">
      <w:pPr>
        <w:spacing w:after="0"/>
        <w:ind w:left="708"/>
        <w:rPr>
          <w:color w:val="3C786A"/>
        </w:rPr>
      </w:pPr>
    </w:p>
    <w:p w14:paraId="1799A28A" w14:textId="0B0BAC4A" w:rsidR="00D20077" w:rsidRPr="00F85F32" w:rsidRDefault="000D4222" w:rsidP="00A62662">
      <w:pPr>
        <w:spacing w:after="0"/>
        <w:ind w:left="708"/>
        <w:rPr>
          <w:color w:val="3C786A"/>
        </w:rPr>
      </w:pPr>
      <w:r w:rsidRPr="00F85F32">
        <w:rPr>
          <w:color w:val="3C786A"/>
        </w:rPr>
        <w:t xml:space="preserve">Eléments de preuve : </w:t>
      </w:r>
      <w:r w:rsidR="00F50F41" w:rsidRPr="00F85F32">
        <w:rPr>
          <w:color w:val="3C786A"/>
        </w:rPr>
        <w:t>Liste des acquis de formation visés au terme de la formation et conformité aux descripteurs de Dublin</w:t>
      </w:r>
    </w:p>
    <w:p w14:paraId="3D8E39B7" w14:textId="2004DADA" w:rsidR="00D20077" w:rsidRDefault="00D20077" w:rsidP="00A62662">
      <w:pPr>
        <w:spacing w:after="0"/>
        <w:ind w:left="708"/>
      </w:pPr>
    </w:p>
    <w:p w14:paraId="754CB2D6" w14:textId="722AD3C8" w:rsidR="00F50F41" w:rsidRDefault="00F50F41" w:rsidP="00A62662">
      <w:pPr>
        <w:spacing w:after="0"/>
        <w:ind w:left="708"/>
      </w:pPr>
      <w:r>
        <w:t>SWOT Champ B1</w:t>
      </w:r>
      <w:r w:rsidR="001A710E">
        <w:t>.1</w:t>
      </w:r>
    </w:p>
    <w:p w14:paraId="700B918B" w14:textId="77777777" w:rsidR="001A710E" w:rsidRDefault="001A710E" w:rsidP="00A62662">
      <w:pPr>
        <w:spacing w:after="0"/>
        <w:ind w:left="708"/>
      </w:pPr>
    </w:p>
    <w:p w14:paraId="6F3D02DB" w14:textId="4F49B6F5" w:rsidR="006D2408" w:rsidRPr="00386B84" w:rsidRDefault="00B05760" w:rsidP="00A62662">
      <w:pPr>
        <w:spacing w:after="0"/>
        <w:ind w:left="708"/>
      </w:pPr>
      <w:r>
        <w:t>B.</w:t>
      </w:r>
      <w:r w:rsidR="00B937E1">
        <w:t>1</w:t>
      </w:r>
      <w:r w:rsidR="006D2408" w:rsidRPr="00386B84">
        <w:t xml:space="preserve">.2. Processus d'enseignement et d'apprentissage </w:t>
      </w:r>
    </w:p>
    <w:p w14:paraId="36F82B6D" w14:textId="59FCB775" w:rsidR="00661FE2" w:rsidRDefault="00EB2E84" w:rsidP="00A97134">
      <w:pPr>
        <w:spacing w:after="0"/>
        <w:ind w:left="1416"/>
        <w:rPr>
          <w:color w:val="0070C0"/>
        </w:rPr>
      </w:pPr>
      <w:r>
        <w:t>B</w:t>
      </w:r>
      <w:r w:rsidR="00966FEA">
        <w:t>.</w:t>
      </w:r>
      <w:r w:rsidR="00443CE1">
        <w:t xml:space="preserve">1.2.1. </w:t>
      </w:r>
      <w:r w:rsidR="006D2408" w:rsidRPr="00386B84">
        <w:t xml:space="preserve">Processus d'enseignement et d'apprentissage </w:t>
      </w:r>
      <w:r w:rsidR="00661FE2" w:rsidRPr="00661FE2">
        <w:rPr>
          <w:color w:val="0070C0"/>
        </w:rPr>
        <w:t>(EAFSG 2.1)</w:t>
      </w:r>
      <w:r w:rsidR="00AE6B8B">
        <w:rPr>
          <w:color w:val="0070C0"/>
        </w:rPr>
        <w:t xml:space="preserve"> </w:t>
      </w:r>
    </w:p>
    <w:p w14:paraId="545FA42A" w14:textId="2B2A3A01" w:rsidR="00172B7E" w:rsidRPr="008511C7" w:rsidRDefault="008511C7" w:rsidP="00A97134">
      <w:pPr>
        <w:spacing w:after="0"/>
        <w:ind w:left="1416"/>
        <w:rPr>
          <w:color w:val="3C786A"/>
        </w:rPr>
      </w:pPr>
      <w:r>
        <w:rPr>
          <w:color w:val="3C786A"/>
        </w:rPr>
        <w:t>Eléments de preuve</w:t>
      </w:r>
      <w:r w:rsidR="00172B7E" w:rsidRPr="008511C7">
        <w:rPr>
          <w:color w:val="3C786A"/>
        </w:rPr>
        <w:t xml:space="preserve"> : </w:t>
      </w:r>
    </w:p>
    <w:p w14:paraId="2D99097B" w14:textId="0C69DD68" w:rsidR="00AE6B8B" w:rsidRPr="008511C7" w:rsidRDefault="00AE6B8B" w:rsidP="00A97134">
      <w:pPr>
        <w:spacing w:after="0"/>
        <w:ind w:left="1416"/>
        <w:rPr>
          <w:color w:val="3C786A"/>
        </w:rPr>
      </w:pPr>
      <w:r w:rsidRPr="008511C7">
        <w:rPr>
          <w:color w:val="3C786A"/>
        </w:rPr>
        <w:t>- syllabus</w:t>
      </w:r>
    </w:p>
    <w:p w14:paraId="6C46663E" w14:textId="18108D25" w:rsidR="00AE6B8B" w:rsidRDefault="00AE6B8B" w:rsidP="00A97134">
      <w:pPr>
        <w:spacing w:after="0"/>
        <w:ind w:left="1416"/>
        <w:rPr>
          <w:color w:val="3C786A"/>
        </w:rPr>
      </w:pPr>
      <w:r w:rsidRPr="008511C7">
        <w:rPr>
          <w:color w:val="3C786A"/>
        </w:rPr>
        <w:t>- maquette pédagogique</w:t>
      </w:r>
    </w:p>
    <w:p w14:paraId="65852721" w14:textId="6F3CB67E" w:rsidR="009D655E" w:rsidRPr="008511C7" w:rsidRDefault="0001652C" w:rsidP="009D655E">
      <w:pPr>
        <w:spacing w:after="0"/>
        <w:ind w:left="1416"/>
        <w:rPr>
          <w:color w:val="3C786A"/>
        </w:rPr>
      </w:pPr>
      <w:r>
        <w:rPr>
          <w:color w:val="3C786A"/>
        </w:rPr>
        <w:lastRenderedPageBreak/>
        <w:t xml:space="preserve">- </w:t>
      </w:r>
      <w:r w:rsidRPr="0001652C">
        <w:rPr>
          <w:color w:val="3C786A"/>
        </w:rPr>
        <w:t>Le lien entre chaque unité d’enseignement (UE) du cursus (y compris les expériences en entreprise) et les acquis de formation est établi formellement (par exemple sous la forme d’un tableau croisé).</w:t>
      </w:r>
    </w:p>
    <w:p w14:paraId="69DE88DA" w14:textId="77777777" w:rsidR="009D655E" w:rsidRPr="008511C7" w:rsidRDefault="009D655E" w:rsidP="00A97134">
      <w:pPr>
        <w:spacing w:after="0"/>
        <w:ind w:left="1416"/>
        <w:rPr>
          <w:color w:val="3C786A"/>
        </w:rPr>
      </w:pPr>
    </w:p>
    <w:p w14:paraId="237854BB" w14:textId="4FC48B9C" w:rsidR="006D2408" w:rsidRDefault="00EB2E84" w:rsidP="00A97134">
      <w:pPr>
        <w:spacing w:after="0"/>
        <w:ind w:left="1416"/>
        <w:rPr>
          <w:color w:val="0070C0"/>
        </w:rPr>
      </w:pPr>
      <w:r>
        <w:t>B.</w:t>
      </w:r>
      <w:r w:rsidR="00443CE1">
        <w:t>1.2.2</w:t>
      </w:r>
      <w:r w:rsidR="006D2408" w:rsidRPr="00386B84">
        <w:t xml:space="preserve">. Évaluation de l'apprentissage des étudiants </w:t>
      </w:r>
      <w:r w:rsidR="00661FE2" w:rsidRPr="00661FE2">
        <w:rPr>
          <w:color w:val="0070C0"/>
        </w:rPr>
        <w:t>(EAFSG 2.2)</w:t>
      </w:r>
    </w:p>
    <w:p w14:paraId="33E6C524" w14:textId="3434EA5D" w:rsidR="008511C7" w:rsidRPr="008511C7" w:rsidRDefault="008511C7" w:rsidP="00A97134">
      <w:pPr>
        <w:spacing w:after="0"/>
        <w:ind w:left="1416"/>
        <w:rPr>
          <w:color w:val="3C786A"/>
        </w:rPr>
      </w:pPr>
      <w:r w:rsidRPr="008511C7">
        <w:rPr>
          <w:color w:val="3C786A"/>
        </w:rPr>
        <w:t>Eléments de preuve :</w:t>
      </w:r>
      <w:r w:rsidR="00AF2333">
        <w:rPr>
          <w:color w:val="3C786A"/>
        </w:rPr>
        <w:t xml:space="preserve"> (à consulter sur place)</w:t>
      </w:r>
      <w:r w:rsidRPr="008511C7">
        <w:rPr>
          <w:color w:val="3C786A"/>
        </w:rPr>
        <w:t xml:space="preserve"> </w:t>
      </w:r>
    </w:p>
    <w:p w14:paraId="768AD266" w14:textId="2F5DD915" w:rsidR="005F5566" w:rsidRPr="008511C7" w:rsidRDefault="005F5566" w:rsidP="00A97134">
      <w:pPr>
        <w:spacing w:after="0"/>
        <w:ind w:left="1416"/>
        <w:rPr>
          <w:color w:val="3C786A"/>
        </w:rPr>
      </w:pPr>
      <w:r w:rsidRPr="008511C7">
        <w:rPr>
          <w:color w:val="3C786A"/>
        </w:rPr>
        <w:t>- copie</w:t>
      </w:r>
      <w:r w:rsidR="00AF2333">
        <w:rPr>
          <w:color w:val="3C786A"/>
        </w:rPr>
        <w:t>s</w:t>
      </w:r>
      <w:r w:rsidRPr="008511C7">
        <w:rPr>
          <w:color w:val="3C786A"/>
        </w:rPr>
        <w:t xml:space="preserve"> d’élèves</w:t>
      </w:r>
      <w:r w:rsidR="00F917B4">
        <w:rPr>
          <w:color w:val="3C786A"/>
        </w:rPr>
        <w:t>, rapports de stage</w:t>
      </w:r>
    </w:p>
    <w:p w14:paraId="0FA3FF18" w14:textId="7BF169DD" w:rsidR="005F5566" w:rsidRPr="008511C7" w:rsidRDefault="005F5566" w:rsidP="00A97134">
      <w:pPr>
        <w:spacing w:after="0"/>
        <w:ind w:left="1416"/>
        <w:rPr>
          <w:color w:val="3C786A"/>
        </w:rPr>
      </w:pPr>
      <w:r w:rsidRPr="008511C7">
        <w:rPr>
          <w:color w:val="3C786A"/>
        </w:rPr>
        <w:t>- grille d’évaluation</w:t>
      </w:r>
    </w:p>
    <w:p w14:paraId="14DEAA42" w14:textId="76368E1F" w:rsidR="006F3CDD" w:rsidRPr="008511C7" w:rsidRDefault="006F3CDD" w:rsidP="00A97134">
      <w:pPr>
        <w:spacing w:after="0"/>
        <w:ind w:left="1416"/>
        <w:rPr>
          <w:color w:val="3C786A"/>
        </w:rPr>
      </w:pPr>
      <w:r w:rsidRPr="008511C7">
        <w:rPr>
          <w:color w:val="3C786A"/>
        </w:rPr>
        <w:t>- cohérence entre les objectifs d’apprentissage</w:t>
      </w:r>
      <w:r w:rsidR="00F917B4">
        <w:rPr>
          <w:color w:val="3C786A"/>
        </w:rPr>
        <w:t xml:space="preserve"> du syllabus</w:t>
      </w:r>
      <w:r w:rsidRPr="008511C7">
        <w:rPr>
          <w:color w:val="3C786A"/>
        </w:rPr>
        <w:t xml:space="preserve"> et </w:t>
      </w:r>
      <w:r w:rsidR="005A1BD4" w:rsidRPr="008511C7">
        <w:rPr>
          <w:color w:val="3C786A"/>
        </w:rPr>
        <w:t>les copies d’élève, les grilles de notation, etc</w:t>
      </w:r>
      <w:r w:rsidR="008511C7" w:rsidRPr="008511C7">
        <w:rPr>
          <w:color w:val="3C786A"/>
        </w:rPr>
        <w:t>.</w:t>
      </w:r>
    </w:p>
    <w:p w14:paraId="734D68AD" w14:textId="4962F7DA" w:rsidR="001E3549" w:rsidRPr="00386B84" w:rsidRDefault="001E3549" w:rsidP="001E3549">
      <w:pPr>
        <w:spacing w:after="0"/>
      </w:pPr>
    </w:p>
    <w:p w14:paraId="5A574221" w14:textId="422CB4A4" w:rsidR="006D2408" w:rsidRDefault="00EB2E84" w:rsidP="00A97134">
      <w:pPr>
        <w:spacing w:after="0"/>
        <w:ind w:left="1416"/>
        <w:rPr>
          <w:color w:val="0070C0"/>
        </w:rPr>
      </w:pPr>
      <w:r>
        <w:t>B.</w:t>
      </w:r>
      <w:r w:rsidR="00443CE1">
        <w:t>1.2.</w:t>
      </w:r>
      <w:r w:rsidR="006D2408" w:rsidRPr="00386B84">
        <w:t xml:space="preserve">3. Planification du processus d'apprentissage </w:t>
      </w:r>
      <w:r w:rsidR="00661FE2" w:rsidRPr="00661FE2">
        <w:rPr>
          <w:color w:val="0070C0"/>
        </w:rPr>
        <w:t>(EAFSG 2.3)</w:t>
      </w:r>
    </w:p>
    <w:p w14:paraId="61D91CC0" w14:textId="08DF4501" w:rsidR="00D0604B" w:rsidRPr="00576D38" w:rsidRDefault="00D0604B" w:rsidP="00A97134">
      <w:pPr>
        <w:spacing w:after="0"/>
        <w:ind w:left="1416"/>
        <w:rPr>
          <w:color w:val="3C786A"/>
        </w:rPr>
      </w:pPr>
      <w:r w:rsidRPr="00576D38">
        <w:rPr>
          <w:color w:val="3C786A"/>
        </w:rPr>
        <w:t>Elément de preuve : durée moyenne des études</w:t>
      </w:r>
    </w:p>
    <w:p w14:paraId="0D608DF2" w14:textId="77777777" w:rsidR="00753ECC" w:rsidRDefault="00753ECC" w:rsidP="00A97134">
      <w:pPr>
        <w:spacing w:after="0"/>
        <w:ind w:left="1416"/>
      </w:pPr>
    </w:p>
    <w:p w14:paraId="6DF428A3" w14:textId="481AD0AB" w:rsidR="00F50929" w:rsidRDefault="00EB2E84" w:rsidP="00A97134">
      <w:pPr>
        <w:spacing w:after="0"/>
        <w:ind w:left="1416"/>
        <w:rPr>
          <w:color w:val="0070C0"/>
        </w:rPr>
      </w:pPr>
      <w:r>
        <w:t>B.</w:t>
      </w:r>
      <w:r w:rsidR="00443CE1">
        <w:t>1.2</w:t>
      </w:r>
      <w:r w:rsidR="006D2408" w:rsidRPr="00386B84">
        <w:t xml:space="preserve">.4. Gestion du processus d'apprentissage </w:t>
      </w:r>
      <w:r w:rsidR="00661FE2" w:rsidRPr="00661FE2">
        <w:rPr>
          <w:color w:val="0070C0"/>
        </w:rPr>
        <w:t>(EAFSG 2.4)</w:t>
      </w:r>
    </w:p>
    <w:p w14:paraId="2E957B91" w14:textId="37B2440A" w:rsidR="001A710E" w:rsidRDefault="001A710E" w:rsidP="00A97134">
      <w:pPr>
        <w:spacing w:after="0"/>
        <w:ind w:left="1416"/>
      </w:pPr>
    </w:p>
    <w:p w14:paraId="4CE90FB8" w14:textId="36E2FA85" w:rsidR="001A710E" w:rsidRDefault="001A710E" w:rsidP="00A97134">
      <w:pPr>
        <w:spacing w:after="0"/>
        <w:ind w:left="1416"/>
      </w:pPr>
      <w:r>
        <w:t>SWOT B1.2</w:t>
      </w:r>
    </w:p>
    <w:p w14:paraId="3CB1A240" w14:textId="77777777" w:rsidR="001A710E" w:rsidRPr="00386B84" w:rsidRDefault="001A710E" w:rsidP="00A97134">
      <w:pPr>
        <w:spacing w:after="0"/>
        <w:ind w:left="1416"/>
      </w:pPr>
    </w:p>
    <w:p w14:paraId="2E55586E" w14:textId="6D2629C0" w:rsidR="006D2408" w:rsidRDefault="00351A67" w:rsidP="00351A67">
      <w:pPr>
        <w:spacing w:after="0"/>
        <w:ind w:left="708"/>
      </w:pPr>
      <w:r>
        <w:t>B</w:t>
      </w:r>
      <w:r w:rsidR="00460A9F">
        <w:t>.1.3</w:t>
      </w:r>
      <w:r w:rsidR="006D2408" w:rsidRPr="00386B84">
        <w:t xml:space="preserve">. Ressources </w:t>
      </w:r>
    </w:p>
    <w:p w14:paraId="010F4711" w14:textId="442FEDFE" w:rsidR="00205793" w:rsidRPr="00386B84" w:rsidRDefault="001F5D53" w:rsidP="001256AB">
      <w:pPr>
        <w:spacing w:after="0"/>
        <w:ind w:left="709"/>
        <w:rPr>
          <w:i/>
          <w:iCs/>
          <w:color w:val="00B050"/>
        </w:rPr>
      </w:pPr>
      <w:r w:rsidRPr="000773A9">
        <w:rPr>
          <w:i/>
          <w:iCs/>
          <w:color w:val="00B050"/>
        </w:rPr>
        <w:t xml:space="preserve">L’établissement décrira les ressources </w:t>
      </w:r>
      <w:r w:rsidRPr="00BC0FDD">
        <w:rPr>
          <w:i/>
          <w:iCs/>
          <w:color w:val="00B050"/>
        </w:rPr>
        <w:t>en lien direct avec la formation</w:t>
      </w:r>
      <w:r w:rsidR="0001652C" w:rsidRPr="00BC0FDD">
        <w:rPr>
          <w:i/>
          <w:iCs/>
          <w:color w:val="00B050"/>
        </w:rPr>
        <w:t xml:space="preserve"> examinée</w:t>
      </w:r>
      <w:r w:rsidRPr="00BC0FDD">
        <w:rPr>
          <w:i/>
          <w:iCs/>
          <w:color w:val="00B050"/>
        </w:rPr>
        <w:t xml:space="preserve">. </w:t>
      </w:r>
      <w:r w:rsidR="00363534" w:rsidRPr="00BC0FDD">
        <w:rPr>
          <w:i/>
          <w:iCs/>
          <w:color w:val="00B050"/>
        </w:rPr>
        <w:t>Si le</w:t>
      </w:r>
      <w:r w:rsidR="00AF5258" w:rsidRPr="00BC0FDD">
        <w:rPr>
          <w:i/>
          <w:iCs/>
          <w:color w:val="00B050"/>
        </w:rPr>
        <w:t>s ressources sont communes à toutes les formations</w:t>
      </w:r>
      <w:r w:rsidR="00AF2333" w:rsidRPr="00BC0FDD">
        <w:rPr>
          <w:i/>
          <w:iCs/>
          <w:color w:val="00B050"/>
        </w:rPr>
        <w:t xml:space="preserve"> </w:t>
      </w:r>
      <w:r w:rsidR="000C224E" w:rsidRPr="00BC0FDD">
        <w:rPr>
          <w:i/>
          <w:iCs/>
          <w:color w:val="00B050"/>
        </w:rPr>
        <w:t>évaluées</w:t>
      </w:r>
      <w:r w:rsidR="00AF5258" w:rsidRPr="00BC0FDD">
        <w:rPr>
          <w:i/>
          <w:iCs/>
          <w:color w:val="00B050"/>
        </w:rPr>
        <w:t>, elles pourront être</w:t>
      </w:r>
      <w:r w:rsidR="00AF5258">
        <w:rPr>
          <w:i/>
          <w:iCs/>
          <w:color w:val="00B050"/>
        </w:rPr>
        <w:t xml:space="preserve"> décrites </w:t>
      </w:r>
      <w:r w:rsidR="00AF2333">
        <w:rPr>
          <w:i/>
          <w:iCs/>
          <w:color w:val="00B050"/>
        </w:rPr>
        <w:t>de manière commune</w:t>
      </w:r>
      <w:r w:rsidR="00123920">
        <w:rPr>
          <w:i/>
          <w:iCs/>
          <w:color w:val="00B050"/>
        </w:rPr>
        <w:t>,</w:t>
      </w:r>
      <w:r w:rsidR="00AF2333">
        <w:rPr>
          <w:i/>
          <w:iCs/>
          <w:color w:val="00B050"/>
        </w:rPr>
        <w:t xml:space="preserve"> transversale à ces formations</w:t>
      </w:r>
    </w:p>
    <w:p w14:paraId="38CFB626" w14:textId="77777777" w:rsidR="00DB2511" w:rsidRDefault="00DB2511" w:rsidP="00EB2E84">
      <w:pPr>
        <w:spacing w:after="0"/>
        <w:ind w:left="1416"/>
      </w:pPr>
    </w:p>
    <w:p w14:paraId="29C09B96" w14:textId="36F95BE1" w:rsidR="00A462B5" w:rsidRDefault="00351A67" w:rsidP="00EB2E84">
      <w:pPr>
        <w:spacing w:after="0"/>
        <w:ind w:left="1416"/>
        <w:rPr>
          <w:color w:val="0070C0"/>
        </w:rPr>
      </w:pPr>
      <w:r>
        <w:t>B</w:t>
      </w:r>
      <w:r w:rsidR="00DC302A" w:rsidRPr="006C1AAE">
        <w:t>.1.3.1. Personnel enseignant</w:t>
      </w:r>
      <w:r w:rsidR="00661FE2">
        <w:t xml:space="preserve"> </w:t>
      </w:r>
      <w:r w:rsidR="00661FE2" w:rsidRPr="00661FE2">
        <w:rPr>
          <w:color w:val="0070C0"/>
        </w:rPr>
        <w:t xml:space="preserve">(EAFSG </w:t>
      </w:r>
      <w:r w:rsidR="00661FE2">
        <w:rPr>
          <w:color w:val="0070C0"/>
        </w:rPr>
        <w:t>3</w:t>
      </w:r>
      <w:r w:rsidR="00661FE2" w:rsidRPr="00661FE2">
        <w:rPr>
          <w:color w:val="0070C0"/>
        </w:rPr>
        <w:t>.</w:t>
      </w:r>
      <w:r w:rsidR="00661FE2">
        <w:rPr>
          <w:color w:val="0070C0"/>
        </w:rPr>
        <w:t>1)</w:t>
      </w:r>
    </w:p>
    <w:p w14:paraId="06D5002D" w14:textId="0229A787" w:rsidR="00123920" w:rsidRPr="00553B6B" w:rsidRDefault="00123920" w:rsidP="00EB2E84">
      <w:pPr>
        <w:spacing w:after="0"/>
        <w:ind w:left="1416"/>
        <w:rPr>
          <w:color w:val="3C786A"/>
        </w:rPr>
      </w:pPr>
      <w:r w:rsidRPr="00553B6B">
        <w:rPr>
          <w:color w:val="3C786A"/>
        </w:rPr>
        <w:t>Eléments de preuve : CV des enseignants, politique de recrutement, de formation des enseignants</w:t>
      </w:r>
    </w:p>
    <w:p w14:paraId="47AD7C49" w14:textId="77777777" w:rsidR="00FD4161" w:rsidRPr="006C1AAE" w:rsidRDefault="00FD4161" w:rsidP="00EB2E84">
      <w:pPr>
        <w:spacing w:after="0"/>
        <w:ind w:left="1416"/>
      </w:pPr>
    </w:p>
    <w:p w14:paraId="65535606" w14:textId="174688C1" w:rsidR="00123920" w:rsidRDefault="000517D9" w:rsidP="00123920">
      <w:pPr>
        <w:spacing w:after="0"/>
        <w:ind w:left="1416"/>
        <w:rPr>
          <w:color w:val="0070C0"/>
        </w:rPr>
      </w:pPr>
      <w:r>
        <w:t>B</w:t>
      </w:r>
      <w:r w:rsidR="00FD263C">
        <w:t>.1</w:t>
      </w:r>
      <w:r w:rsidR="007C5D6F">
        <w:t>.</w:t>
      </w:r>
      <w:r w:rsidR="008F20D9" w:rsidRPr="006C1AAE">
        <w:t>3.2</w:t>
      </w:r>
      <w:r w:rsidR="007C5D6F">
        <w:t xml:space="preserve">. </w:t>
      </w:r>
      <w:r w:rsidR="008F20D9" w:rsidRPr="006C1AAE">
        <w:t>Installations et personnel de soutien à l’enseignement</w:t>
      </w:r>
      <w:r w:rsidR="00661FE2">
        <w:t xml:space="preserve"> </w:t>
      </w:r>
      <w:r w:rsidR="00661FE2" w:rsidRPr="00661FE2">
        <w:rPr>
          <w:color w:val="0070C0"/>
        </w:rPr>
        <w:t xml:space="preserve">(EAFSG </w:t>
      </w:r>
      <w:r w:rsidR="00661FE2">
        <w:rPr>
          <w:color w:val="0070C0"/>
        </w:rPr>
        <w:t>3</w:t>
      </w:r>
      <w:r w:rsidR="00661FE2" w:rsidRPr="00661FE2">
        <w:rPr>
          <w:color w:val="0070C0"/>
        </w:rPr>
        <w:t>.</w:t>
      </w:r>
      <w:r w:rsidR="00661FE2">
        <w:rPr>
          <w:color w:val="0070C0"/>
        </w:rPr>
        <w:t>2)</w:t>
      </w:r>
    </w:p>
    <w:p w14:paraId="433DBC76" w14:textId="2A185BCC" w:rsidR="0033516C" w:rsidRPr="00553B6B" w:rsidRDefault="0033516C" w:rsidP="00123920">
      <w:pPr>
        <w:spacing w:after="0"/>
        <w:ind w:left="1416"/>
        <w:rPr>
          <w:color w:val="3C786A"/>
        </w:rPr>
      </w:pPr>
      <w:r w:rsidRPr="00553B6B">
        <w:rPr>
          <w:color w:val="3C786A"/>
        </w:rPr>
        <w:t>Eléments de preuve : moyens matériels (plateformes techniques, matériels et logiciels informatiques, salles spécialisées) et personnels de soutien dédiés à la formation</w:t>
      </w:r>
    </w:p>
    <w:p w14:paraId="67B751F5" w14:textId="77777777" w:rsidR="00FD4161" w:rsidRPr="00576D38" w:rsidRDefault="00FD4161" w:rsidP="00123920">
      <w:pPr>
        <w:spacing w:after="0"/>
        <w:ind w:left="1416"/>
        <w:rPr>
          <w:color w:val="0070C0"/>
        </w:rPr>
      </w:pPr>
    </w:p>
    <w:p w14:paraId="6422F145" w14:textId="07F90891" w:rsidR="008F20D9" w:rsidRPr="006C1AAE" w:rsidRDefault="000517D9" w:rsidP="00EB2E84">
      <w:pPr>
        <w:spacing w:after="0"/>
        <w:ind w:left="1416"/>
      </w:pPr>
      <w:r>
        <w:t>B</w:t>
      </w:r>
      <w:r w:rsidR="007C5D6F">
        <w:t>.1.</w:t>
      </w:r>
      <w:r w:rsidR="008F20D9" w:rsidRPr="006C1AAE">
        <w:t>3.3</w:t>
      </w:r>
      <w:r w:rsidR="007C5D6F">
        <w:t xml:space="preserve">. </w:t>
      </w:r>
      <w:r w:rsidR="008F20D9" w:rsidRPr="006C1AAE">
        <w:t>Ressources financières</w:t>
      </w:r>
      <w:r w:rsidR="00661FE2">
        <w:t xml:space="preserve"> </w:t>
      </w:r>
      <w:r w:rsidR="00661FE2" w:rsidRPr="00661FE2">
        <w:rPr>
          <w:color w:val="0070C0"/>
        </w:rPr>
        <w:t xml:space="preserve">(EAFSG </w:t>
      </w:r>
      <w:r w:rsidR="00661FE2">
        <w:rPr>
          <w:color w:val="0070C0"/>
        </w:rPr>
        <w:t>3</w:t>
      </w:r>
      <w:r w:rsidR="00661FE2" w:rsidRPr="00661FE2">
        <w:rPr>
          <w:color w:val="0070C0"/>
        </w:rPr>
        <w:t>.</w:t>
      </w:r>
      <w:r w:rsidR="00661FE2">
        <w:rPr>
          <w:color w:val="0070C0"/>
        </w:rPr>
        <w:t>3)</w:t>
      </w:r>
    </w:p>
    <w:p w14:paraId="1CBD4F58" w14:textId="77777777" w:rsidR="000477A0" w:rsidRDefault="000477A0" w:rsidP="00EB2E84">
      <w:pPr>
        <w:spacing w:after="0"/>
        <w:ind w:left="1416"/>
      </w:pPr>
    </w:p>
    <w:p w14:paraId="3087E0F5" w14:textId="1C55A590" w:rsidR="006C1AAE" w:rsidRDefault="000517D9" w:rsidP="00EB2E84">
      <w:pPr>
        <w:spacing w:after="0"/>
        <w:ind w:left="1416"/>
        <w:rPr>
          <w:color w:val="0070C0"/>
        </w:rPr>
      </w:pPr>
      <w:r>
        <w:t>B</w:t>
      </w:r>
      <w:r w:rsidR="007C5D6F">
        <w:t>.1.</w:t>
      </w:r>
      <w:r w:rsidR="006C1AAE" w:rsidRPr="006C1AAE">
        <w:t>3.4</w:t>
      </w:r>
      <w:r w:rsidR="007C5D6F">
        <w:t xml:space="preserve">. </w:t>
      </w:r>
      <w:r w:rsidR="006C1AAE" w:rsidRPr="006C1AAE">
        <w:t xml:space="preserve"> Services de soutien aux étudiants</w:t>
      </w:r>
      <w:r w:rsidR="00661FE2">
        <w:t xml:space="preserve"> </w:t>
      </w:r>
      <w:r w:rsidR="00661FE2" w:rsidRPr="00661FE2">
        <w:rPr>
          <w:color w:val="0070C0"/>
        </w:rPr>
        <w:t xml:space="preserve">(EAFSG </w:t>
      </w:r>
      <w:r w:rsidR="00661FE2">
        <w:rPr>
          <w:color w:val="0070C0"/>
        </w:rPr>
        <w:t>3</w:t>
      </w:r>
      <w:r w:rsidR="00661FE2" w:rsidRPr="00661FE2">
        <w:rPr>
          <w:color w:val="0070C0"/>
        </w:rPr>
        <w:t>.</w:t>
      </w:r>
      <w:r w:rsidR="00661FE2">
        <w:rPr>
          <w:color w:val="0070C0"/>
        </w:rPr>
        <w:t>4)</w:t>
      </w:r>
    </w:p>
    <w:p w14:paraId="362F8C56" w14:textId="7898F81A" w:rsidR="00123920" w:rsidRPr="00553B6B" w:rsidRDefault="00123920" w:rsidP="00EB2E84">
      <w:pPr>
        <w:spacing w:after="0"/>
        <w:ind w:left="1416"/>
        <w:rPr>
          <w:color w:val="3C786A"/>
        </w:rPr>
      </w:pPr>
      <w:r w:rsidRPr="00553B6B">
        <w:rPr>
          <w:color w:val="3C786A"/>
        </w:rPr>
        <w:t xml:space="preserve">Eléments de preuve : Organisation </w:t>
      </w:r>
      <w:r w:rsidR="0033516C" w:rsidRPr="00553B6B">
        <w:rPr>
          <w:color w:val="3C786A"/>
        </w:rPr>
        <w:t xml:space="preserve">et nature </w:t>
      </w:r>
      <w:r w:rsidRPr="00553B6B">
        <w:rPr>
          <w:color w:val="3C786A"/>
        </w:rPr>
        <w:t>du soutien aux étudiants, nombre d’étudiants concernés</w:t>
      </w:r>
    </w:p>
    <w:p w14:paraId="372210F9" w14:textId="77777777" w:rsidR="00FD4161" w:rsidRDefault="00FD4161" w:rsidP="00EB2E84">
      <w:pPr>
        <w:spacing w:after="0"/>
        <w:ind w:left="1416"/>
      </w:pPr>
    </w:p>
    <w:p w14:paraId="14AFAD5E" w14:textId="29325E03" w:rsidR="003912C6" w:rsidRDefault="000517D9" w:rsidP="00EB2E84">
      <w:pPr>
        <w:spacing w:after="0"/>
        <w:ind w:left="1416"/>
        <w:rPr>
          <w:color w:val="0070C0"/>
        </w:rPr>
      </w:pPr>
      <w:r>
        <w:t xml:space="preserve">B </w:t>
      </w:r>
      <w:r w:rsidR="003912C6">
        <w:t>.1.3.5. Partenariats</w:t>
      </w:r>
      <w:r w:rsidR="00661FE2">
        <w:t xml:space="preserve"> </w:t>
      </w:r>
      <w:r w:rsidR="00661FE2" w:rsidRPr="00661FE2">
        <w:rPr>
          <w:color w:val="0070C0"/>
        </w:rPr>
        <w:t xml:space="preserve">(EAFSG </w:t>
      </w:r>
      <w:r w:rsidR="00661FE2">
        <w:rPr>
          <w:color w:val="0070C0"/>
        </w:rPr>
        <w:t>3</w:t>
      </w:r>
      <w:r w:rsidR="00661FE2" w:rsidRPr="00661FE2">
        <w:rPr>
          <w:color w:val="0070C0"/>
        </w:rPr>
        <w:t>.</w:t>
      </w:r>
      <w:r w:rsidR="00661FE2">
        <w:rPr>
          <w:color w:val="0070C0"/>
        </w:rPr>
        <w:t>5)</w:t>
      </w:r>
    </w:p>
    <w:p w14:paraId="1AA12ECA" w14:textId="79CEA495" w:rsidR="00123920" w:rsidRPr="00553B6B" w:rsidRDefault="00123920" w:rsidP="00EB2E84">
      <w:pPr>
        <w:spacing w:after="0"/>
        <w:ind w:left="1416"/>
        <w:rPr>
          <w:color w:val="3C786A"/>
        </w:rPr>
      </w:pPr>
      <w:r w:rsidRPr="00553B6B">
        <w:rPr>
          <w:color w:val="3C786A"/>
        </w:rPr>
        <w:t>Eléments de preuve : convention de partenariats pour des périodes de formation en dehors de l’école</w:t>
      </w:r>
      <w:r w:rsidR="00A53753">
        <w:rPr>
          <w:color w:val="3C786A"/>
        </w:rPr>
        <w:t> ; p</w:t>
      </w:r>
      <w:r w:rsidR="0033516C" w:rsidRPr="00553B6B">
        <w:rPr>
          <w:color w:val="3C786A"/>
        </w:rPr>
        <w:t>ériodes en entreprise</w:t>
      </w:r>
      <w:r w:rsidR="00553B6B">
        <w:rPr>
          <w:color w:val="3C786A"/>
        </w:rPr>
        <w:t xml:space="preserve"> et les </w:t>
      </w:r>
      <w:r w:rsidR="007D0EB5" w:rsidRPr="00553B6B">
        <w:rPr>
          <w:color w:val="3C786A"/>
        </w:rPr>
        <w:t>modalités</w:t>
      </w:r>
      <w:r w:rsidR="00553B6B">
        <w:rPr>
          <w:color w:val="3C786A"/>
        </w:rPr>
        <w:t xml:space="preserve"> d’accueil</w:t>
      </w:r>
      <w:r w:rsidR="00A53753">
        <w:rPr>
          <w:color w:val="3C786A"/>
        </w:rPr>
        <w:t> ; n</w:t>
      </w:r>
      <w:r w:rsidRPr="00553B6B">
        <w:rPr>
          <w:color w:val="3C786A"/>
        </w:rPr>
        <w:t xml:space="preserve">ombre d’étudiants en mobilité sortante et entrante </w:t>
      </w:r>
    </w:p>
    <w:p w14:paraId="5BB40FD9" w14:textId="25D0E2C2" w:rsidR="001A710E" w:rsidRDefault="001A710E" w:rsidP="00EB2E84">
      <w:pPr>
        <w:spacing w:after="0"/>
        <w:ind w:left="1416"/>
      </w:pPr>
    </w:p>
    <w:p w14:paraId="5997E7AB" w14:textId="755145EE" w:rsidR="001A710E" w:rsidRDefault="001A710E" w:rsidP="00EB2E84">
      <w:pPr>
        <w:spacing w:after="0"/>
        <w:ind w:left="1416"/>
      </w:pPr>
      <w:r>
        <w:lastRenderedPageBreak/>
        <w:t>SWOT B1.3</w:t>
      </w:r>
    </w:p>
    <w:p w14:paraId="20BB76FC" w14:textId="74688334" w:rsidR="001A710E" w:rsidRDefault="001A710E" w:rsidP="00EB2E84">
      <w:pPr>
        <w:spacing w:after="0"/>
        <w:ind w:left="1416"/>
      </w:pPr>
    </w:p>
    <w:p w14:paraId="075E40E1" w14:textId="77777777" w:rsidR="00553B6B" w:rsidRPr="006C1AAE" w:rsidRDefault="00553B6B" w:rsidP="00EB2E84">
      <w:pPr>
        <w:spacing w:after="0"/>
        <w:ind w:left="1416"/>
      </w:pPr>
    </w:p>
    <w:p w14:paraId="5DD1C392" w14:textId="42A0B67D" w:rsidR="00FD263C" w:rsidRPr="00FD263C" w:rsidRDefault="00FC1A44" w:rsidP="00DF3C7F">
      <w:pPr>
        <w:spacing w:after="0"/>
        <w:ind w:left="708"/>
      </w:pPr>
      <w:r>
        <w:t>B</w:t>
      </w:r>
      <w:r w:rsidR="007C5D6F">
        <w:t xml:space="preserve">.1.4. </w:t>
      </w:r>
      <w:r w:rsidR="00FD263C" w:rsidRPr="00FD263C">
        <w:t xml:space="preserve">Admission, passage, progression et validation du diplôme </w:t>
      </w:r>
    </w:p>
    <w:p w14:paraId="72FAAAAF" w14:textId="77777777" w:rsidR="00904DEF" w:rsidRDefault="00904DEF" w:rsidP="0055219D">
      <w:pPr>
        <w:spacing w:after="0"/>
        <w:ind w:left="2552" w:hanging="1137"/>
      </w:pPr>
    </w:p>
    <w:p w14:paraId="5348A0B7" w14:textId="1A45632E" w:rsidR="00FD263C" w:rsidRDefault="00DF3C7F" w:rsidP="0055219D">
      <w:pPr>
        <w:spacing w:after="0"/>
        <w:ind w:left="2552" w:hanging="1137"/>
      </w:pPr>
      <w:r>
        <w:t xml:space="preserve">B </w:t>
      </w:r>
      <w:r w:rsidR="005A1409">
        <w:t>.1.</w:t>
      </w:r>
      <w:r w:rsidR="00FD263C" w:rsidRPr="00FD263C">
        <w:t>4.1. Règles gouvernant la progression des étudiants lors de la formation</w:t>
      </w:r>
      <w:r w:rsidR="00DE200B">
        <w:t xml:space="preserve"> </w:t>
      </w:r>
      <w:r w:rsidR="00DE200B" w:rsidRPr="00661FE2">
        <w:rPr>
          <w:color w:val="0070C0"/>
        </w:rPr>
        <w:t xml:space="preserve">(EAFSG </w:t>
      </w:r>
      <w:r w:rsidR="00DE200B">
        <w:rPr>
          <w:color w:val="0070C0"/>
        </w:rPr>
        <w:t>4</w:t>
      </w:r>
      <w:r w:rsidR="00DE200B" w:rsidRPr="00661FE2">
        <w:rPr>
          <w:color w:val="0070C0"/>
        </w:rPr>
        <w:t>.</w:t>
      </w:r>
      <w:r w:rsidR="00DE200B">
        <w:rPr>
          <w:color w:val="0070C0"/>
        </w:rPr>
        <w:t>1)</w:t>
      </w:r>
      <w:r w:rsidR="00FD263C" w:rsidRPr="00FD263C">
        <w:t xml:space="preserve"> </w:t>
      </w:r>
    </w:p>
    <w:p w14:paraId="262C13C3" w14:textId="24ADA112" w:rsidR="00EB30FF" w:rsidRPr="00904DEF" w:rsidRDefault="00C07B25" w:rsidP="0055219D">
      <w:pPr>
        <w:spacing w:after="0"/>
        <w:ind w:left="1418" w:hanging="3"/>
        <w:jc w:val="both"/>
        <w:rPr>
          <w:color w:val="3C786A"/>
        </w:rPr>
      </w:pPr>
      <w:r w:rsidRPr="00904DEF">
        <w:rPr>
          <w:color w:val="3C786A"/>
        </w:rPr>
        <w:t xml:space="preserve">Eléments de preuve : </w:t>
      </w:r>
      <w:r w:rsidR="00D0604B" w:rsidRPr="00904DEF">
        <w:rPr>
          <w:color w:val="3C786A"/>
        </w:rPr>
        <w:t>règlement des études, PV de jurys</w:t>
      </w:r>
      <w:r w:rsidR="006F5275" w:rsidRPr="00904DEF">
        <w:rPr>
          <w:color w:val="3C786A"/>
        </w:rPr>
        <w:t xml:space="preserve"> ou équivalents</w:t>
      </w:r>
    </w:p>
    <w:p w14:paraId="5915FA54" w14:textId="77777777" w:rsidR="0055219D" w:rsidRDefault="0055219D" w:rsidP="00EB2E84">
      <w:pPr>
        <w:spacing w:after="0"/>
        <w:ind w:left="1416"/>
      </w:pPr>
    </w:p>
    <w:p w14:paraId="244A5CCE" w14:textId="4E9584D7" w:rsidR="00FD263C" w:rsidRDefault="00DF3C7F" w:rsidP="00EB2E84">
      <w:pPr>
        <w:spacing w:after="0"/>
        <w:ind w:left="1416"/>
        <w:rPr>
          <w:color w:val="0070C0"/>
        </w:rPr>
      </w:pPr>
      <w:r>
        <w:t>B</w:t>
      </w:r>
      <w:r w:rsidR="005A1409">
        <w:t>.1.</w:t>
      </w:r>
      <w:r w:rsidR="00FD263C" w:rsidRPr="00FD263C">
        <w:t xml:space="preserve">4.2. Admission des étudiants </w:t>
      </w:r>
      <w:r w:rsidR="00DE200B" w:rsidRPr="00661FE2">
        <w:rPr>
          <w:color w:val="0070C0"/>
        </w:rPr>
        <w:t xml:space="preserve">(EAFSG </w:t>
      </w:r>
      <w:r w:rsidR="00DE200B">
        <w:rPr>
          <w:color w:val="0070C0"/>
        </w:rPr>
        <w:t>4</w:t>
      </w:r>
      <w:r w:rsidR="00DE200B" w:rsidRPr="00661FE2">
        <w:rPr>
          <w:color w:val="0070C0"/>
        </w:rPr>
        <w:t>.</w:t>
      </w:r>
      <w:r w:rsidR="00DE200B">
        <w:rPr>
          <w:color w:val="0070C0"/>
        </w:rPr>
        <w:t>2)</w:t>
      </w:r>
    </w:p>
    <w:p w14:paraId="13C7D5C2" w14:textId="0B0ECC4C" w:rsidR="00C07B25" w:rsidRPr="00904DEF" w:rsidRDefault="00C07B25">
      <w:pPr>
        <w:spacing w:after="0"/>
        <w:ind w:left="1418" w:hanging="3"/>
        <w:jc w:val="both"/>
        <w:rPr>
          <w:color w:val="3C786A"/>
        </w:rPr>
      </w:pPr>
      <w:r w:rsidRPr="00904DEF">
        <w:rPr>
          <w:color w:val="3C786A"/>
        </w:rPr>
        <w:t xml:space="preserve">Eléments de preuve : </w:t>
      </w:r>
      <w:r w:rsidR="00D0604B" w:rsidRPr="00904DEF">
        <w:rPr>
          <w:color w:val="3C786A"/>
        </w:rPr>
        <w:t>document diffusé aux candidats indiquant les modalités et critères d’admission. T</w:t>
      </w:r>
      <w:r w:rsidRPr="00904DEF">
        <w:rPr>
          <w:color w:val="3C786A"/>
        </w:rPr>
        <w:t>ableau de suivi des résultats d’admission (</w:t>
      </w:r>
      <w:r w:rsidR="007A0D89" w:rsidRPr="00904DEF">
        <w:rPr>
          <w:color w:val="3C786A"/>
        </w:rPr>
        <w:t xml:space="preserve">par filière : </w:t>
      </w:r>
      <w:r w:rsidRPr="00904DEF">
        <w:rPr>
          <w:color w:val="3C786A"/>
        </w:rPr>
        <w:t xml:space="preserve">nombre </w:t>
      </w:r>
      <w:r w:rsidR="007A0D89" w:rsidRPr="00904DEF">
        <w:rPr>
          <w:color w:val="3C786A"/>
        </w:rPr>
        <w:t>d’étudiants visés,</w:t>
      </w:r>
      <w:r w:rsidRPr="00904DEF">
        <w:rPr>
          <w:color w:val="3C786A"/>
        </w:rPr>
        <w:t xml:space="preserve"> nombre</w:t>
      </w:r>
      <w:r w:rsidR="007A0D89" w:rsidRPr="00904DEF">
        <w:rPr>
          <w:color w:val="3C786A"/>
        </w:rPr>
        <w:t xml:space="preserve"> d’étudiants candidats, admis et intégrés). Analyse de la réussite suivant la filière d’origine</w:t>
      </w:r>
    </w:p>
    <w:p w14:paraId="5DDC50C8" w14:textId="77777777" w:rsidR="00694B1A" w:rsidRDefault="00694B1A" w:rsidP="0055219D">
      <w:pPr>
        <w:spacing w:after="0"/>
        <w:ind w:left="1418" w:hanging="3"/>
        <w:jc w:val="both"/>
      </w:pPr>
    </w:p>
    <w:p w14:paraId="7E08E524" w14:textId="53FCC1FF" w:rsidR="00FD263C" w:rsidRDefault="00DF3C7F" w:rsidP="00EB2E84">
      <w:pPr>
        <w:spacing w:after="0"/>
        <w:ind w:left="1416"/>
        <w:rPr>
          <w:color w:val="0070C0"/>
        </w:rPr>
      </w:pPr>
      <w:r>
        <w:t>B</w:t>
      </w:r>
      <w:r w:rsidR="003F7CA1">
        <w:t>.1.</w:t>
      </w:r>
      <w:r w:rsidR="00FD263C" w:rsidRPr="00FD263C">
        <w:t xml:space="preserve">4.3. Evaluation des étudiants </w:t>
      </w:r>
      <w:r w:rsidR="00DE200B" w:rsidRPr="00661FE2">
        <w:rPr>
          <w:color w:val="0070C0"/>
        </w:rPr>
        <w:t xml:space="preserve">(EAFSG </w:t>
      </w:r>
      <w:r w:rsidR="00DE200B">
        <w:rPr>
          <w:color w:val="0070C0"/>
        </w:rPr>
        <w:t>4</w:t>
      </w:r>
      <w:r w:rsidR="00DE200B" w:rsidRPr="00661FE2">
        <w:rPr>
          <w:color w:val="0070C0"/>
        </w:rPr>
        <w:t>.</w:t>
      </w:r>
      <w:r w:rsidR="00DE200B">
        <w:rPr>
          <w:color w:val="0070C0"/>
        </w:rPr>
        <w:t>3)</w:t>
      </w:r>
    </w:p>
    <w:p w14:paraId="2850EBB2" w14:textId="661A809E" w:rsidR="007A0D89" w:rsidRPr="00904DEF" w:rsidRDefault="007A0D89" w:rsidP="00904DEF">
      <w:pPr>
        <w:spacing w:after="0"/>
        <w:ind w:left="1418" w:hanging="3"/>
        <w:jc w:val="both"/>
        <w:rPr>
          <w:color w:val="3C786A"/>
        </w:rPr>
      </w:pPr>
      <w:r w:rsidRPr="00904DEF">
        <w:rPr>
          <w:color w:val="3C786A"/>
        </w:rPr>
        <w:t xml:space="preserve">Eléments de preuve : nombre de </w:t>
      </w:r>
      <w:r w:rsidR="00904DEF" w:rsidRPr="00904DEF">
        <w:rPr>
          <w:color w:val="3C786A"/>
        </w:rPr>
        <w:t>non-validations</w:t>
      </w:r>
      <w:r w:rsidRPr="00904DEF">
        <w:rPr>
          <w:color w:val="3C786A"/>
        </w:rPr>
        <w:t xml:space="preserve"> de modules et analyse </w:t>
      </w:r>
    </w:p>
    <w:p w14:paraId="4A3BE7A5" w14:textId="77777777" w:rsidR="00B54564" w:rsidRPr="00FD263C" w:rsidRDefault="00B54564" w:rsidP="00EB2E84">
      <w:pPr>
        <w:spacing w:after="0"/>
        <w:ind w:left="1416"/>
      </w:pPr>
    </w:p>
    <w:p w14:paraId="51489312" w14:textId="1B4D1AE2" w:rsidR="00FD263C" w:rsidRDefault="00DF3C7F" w:rsidP="00EB2E84">
      <w:pPr>
        <w:spacing w:after="0"/>
        <w:ind w:left="1416"/>
        <w:rPr>
          <w:color w:val="0070C0"/>
        </w:rPr>
      </w:pPr>
      <w:r>
        <w:t>B</w:t>
      </w:r>
      <w:r w:rsidR="00CC75F8">
        <w:t>.1.</w:t>
      </w:r>
      <w:r w:rsidR="00FD263C" w:rsidRPr="00FD263C">
        <w:t xml:space="preserve">4.4. Progression des étudiants </w:t>
      </w:r>
      <w:r w:rsidR="00DE200B" w:rsidRPr="00661FE2">
        <w:rPr>
          <w:color w:val="0070C0"/>
        </w:rPr>
        <w:t xml:space="preserve">(EAFSG </w:t>
      </w:r>
      <w:r w:rsidR="00DE200B">
        <w:rPr>
          <w:color w:val="0070C0"/>
        </w:rPr>
        <w:t>4</w:t>
      </w:r>
      <w:r w:rsidR="00DE200B" w:rsidRPr="00661FE2">
        <w:rPr>
          <w:color w:val="0070C0"/>
        </w:rPr>
        <w:t>.</w:t>
      </w:r>
      <w:r w:rsidR="00DE200B">
        <w:rPr>
          <w:color w:val="0070C0"/>
        </w:rPr>
        <w:t>4)</w:t>
      </w:r>
    </w:p>
    <w:p w14:paraId="1B68184D" w14:textId="6E5EF558" w:rsidR="00737FAC" w:rsidRPr="00904DEF" w:rsidRDefault="00737FAC" w:rsidP="00904DEF">
      <w:pPr>
        <w:spacing w:after="0"/>
        <w:ind w:left="1418" w:hanging="3"/>
        <w:jc w:val="both"/>
        <w:rPr>
          <w:color w:val="3C786A"/>
        </w:rPr>
      </w:pPr>
      <w:r w:rsidRPr="00904DEF">
        <w:rPr>
          <w:color w:val="3C786A"/>
        </w:rPr>
        <w:t xml:space="preserve">Eléments de preuve : Analyse des résultats pour chaque année. </w:t>
      </w:r>
      <w:r w:rsidR="00D0604B" w:rsidRPr="00904DEF">
        <w:rPr>
          <w:color w:val="3C786A"/>
        </w:rPr>
        <w:t>Taux de réussite</w:t>
      </w:r>
    </w:p>
    <w:p w14:paraId="7E9C8AEF" w14:textId="77777777" w:rsidR="00904DEF" w:rsidRPr="00904DEF" w:rsidRDefault="00904DEF" w:rsidP="00904DEF">
      <w:pPr>
        <w:spacing w:after="0"/>
        <w:ind w:left="1418" w:hanging="3"/>
        <w:jc w:val="both"/>
        <w:rPr>
          <w:color w:val="3C786A"/>
        </w:rPr>
      </w:pPr>
    </w:p>
    <w:p w14:paraId="714D916B" w14:textId="63FDEAD3" w:rsidR="00F75469" w:rsidRDefault="00F75469" w:rsidP="00F75469">
      <w:pPr>
        <w:pStyle w:val="Paragraphedeliste"/>
        <w:ind w:left="708"/>
      </w:pPr>
      <w:r>
        <w:t>Analyse SWOT</w:t>
      </w:r>
      <w:r w:rsidR="001A710E">
        <w:t xml:space="preserve"> B1.4</w:t>
      </w:r>
    </w:p>
    <w:p w14:paraId="052ED928" w14:textId="77777777" w:rsidR="00F75469" w:rsidRDefault="00F75469" w:rsidP="0032323B">
      <w:pPr>
        <w:ind w:left="708"/>
        <w:rPr>
          <w:b/>
          <w:bCs/>
        </w:rPr>
      </w:pPr>
    </w:p>
    <w:p w14:paraId="30AA947A" w14:textId="1EDC046A" w:rsidR="0032323B" w:rsidRDefault="0032323B" w:rsidP="0032323B">
      <w:pPr>
        <w:ind w:left="708"/>
        <w:rPr>
          <w:b/>
          <w:bCs/>
        </w:rPr>
      </w:pPr>
      <w:r>
        <w:rPr>
          <w:b/>
          <w:bCs/>
        </w:rPr>
        <w:t>B.2. Formation d’ingénieur en (indiquer la spécialité si pertinent)</w:t>
      </w:r>
    </w:p>
    <w:p w14:paraId="76EB4B9F" w14:textId="19E3F493" w:rsidR="002653A6" w:rsidRPr="00841A8F" w:rsidRDefault="002653A6" w:rsidP="0032323B">
      <w:pPr>
        <w:ind w:left="708"/>
        <w:rPr>
          <w:i/>
          <w:iCs/>
          <w:color w:val="00B050"/>
        </w:rPr>
      </w:pPr>
      <w:r w:rsidRPr="00841A8F">
        <w:rPr>
          <w:i/>
          <w:iCs/>
          <w:color w:val="00B050"/>
        </w:rPr>
        <w:t xml:space="preserve">L’établissement reprendra la structure </w:t>
      </w:r>
      <w:r w:rsidR="006A19CF" w:rsidRPr="00841A8F">
        <w:rPr>
          <w:i/>
          <w:iCs/>
          <w:color w:val="00B050"/>
        </w:rPr>
        <w:t xml:space="preserve">du B.1 pour chaque formation </w:t>
      </w:r>
      <w:r w:rsidR="0081260F">
        <w:rPr>
          <w:i/>
          <w:iCs/>
          <w:color w:val="00B050"/>
        </w:rPr>
        <w:t>évaluée</w:t>
      </w:r>
      <w:r w:rsidR="006A19CF" w:rsidRPr="00841A8F">
        <w:rPr>
          <w:i/>
          <w:iCs/>
          <w:color w:val="00B050"/>
        </w:rPr>
        <w:t xml:space="preserve">. </w:t>
      </w:r>
    </w:p>
    <w:p w14:paraId="7FEA7BAD" w14:textId="77777777" w:rsidR="006D034F" w:rsidRDefault="006D034F" w:rsidP="003D31F8">
      <w:pPr>
        <w:spacing w:after="0"/>
      </w:pPr>
    </w:p>
    <w:p w14:paraId="7567DB03" w14:textId="34D86CB4" w:rsidR="003D31F8" w:rsidRPr="007E3168" w:rsidRDefault="00400A69" w:rsidP="007E3168">
      <w:pPr>
        <w:spacing w:after="0"/>
        <w:ind w:left="360"/>
        <w:rPr>
          <w:b/>
          <w:bCs/>
        </w:rPr>
      </w:pPr>
      <w:r>
        <w:rPr>
          <w:b/>
          <w:bCs/>
        </w:rPr>
        <w:t xml:space="preserve">B.5 </w:t>
      </w:r>
      <w:r w:rsidR="003D31F8" w:rsidRPr="007E3168">
        <w:rPr>
          <w:b/>
          <w:bCs/>
        </w:rPr>
        <w:t>Assurance qualité interne</w:t>
      </w:r>
    </w:p>
    <w:p w14:paraId="39178556" w14:textId="5A055B5D" w:rsidR="006C1AAE" w:rsidRPr="000773A9" w:rsidRDefault="00F64652" w:rsidP="000773A9">
      <w:pPr>
        <w:spacing w:after="0"/>
        <w:ind w:left="360"/>
        <w:rPr>
          <w:i/>
          <w:iCs/>
          <w:color w:val="00B050"/>
        </w:rPr>
      </w:pPr>
      <w:r w:rsidRPr="000773A9">
        <w:rPr>
          <w:rFonts w:eastAsia="HG Mincho Light J" w:cs="Arial"/>
          <w:i/>
          <w:iCs/>
          <w:color w:val="00B050"/>
        </w:rPr>
        <w:t xml:space="preserve">Ce champ peut être traité globalement si </w:t>
      </w:r>
      <w:r w:rsidR="00400A69">
        <w:rPr>
          <w:rFonts w:eastAsia="HG Mincho Light J" w:cs="Arial"/>
          <w:i/>
          <w:iCs/>
          <w:color w:val="00B050"/>
        </w:rPr>
        <w:t>toutes les</w:t>
      </w:r>
      <w:r w:rsidR="00400A69" w:rsidRPr="000773A9">
        <w:rPr>
          <w:rFonts w:eastAsia="HG Mincho Light J" w:cs="Arial"/>
          <w:i/>
          <w:iCs/>
          <w:color w:val="00B050"/>
        </w:rPr>
        <w:t xml:space="preserve"> </w:t>
      </w:r>
      <w:r w:rsidR="00201725" w:rsidRPr="000773A9">
        <w:rPr>
          <w:rFonts w:eastAsia="HG Mincho Light J" w:cs="Arial"/>
          <w:i/>
          <w:iCs/>
          <w:color w:val="00B050"/>
        </w:rPr>
        <w:t>formation</w:t>
      </w:r>
      <w:r w:rsidR="00400A69">
        <w:rPr>
          <w:rFonts w:eastAsia="HG Mincho Light J" w:cs="Arial"/>
          <w:i/>
          <w:iCs/>
          <w:color w:val="00B050"/>
        </w:rPr>
        <w:t>s</w:t>
      </w:r>
      <w:r w:rsidR="00201725" w:rsidRPr="000773A9">
        <w:rPr>
          <w:rFonts w:eastAsia="HG Mincho Light J" w:cs="Arial"/>
          <w:i/>
          <w:iCs/>
          <w:color w:val="00B050"/>
        </w:rPr>
        <w:t xml:space="preserve"> déploie</w:t>
      </w:r>
      <w:r w:rsidR="00400A69">
        <w:rPr>
          <w:rFonts w:eastAsia="HG Mincho Light J" w:cs="Arial"/>
          <w:i/>
          <w:iCs/>
          <w:color w:val="00B050"/>
        </w:rPr>
        <w:t>nt</w:t>
      </w:r>
      <w:r w:rsidR="00201725" w:rsidRPr="000773A9">
        <w:rPr>
          <w:rFonts w:eastAsia="HG Mincho Light J" w:cs="Arial"/>
          <w:i/>
          <w:iCs/>
          <w:color w:val="00B050"/>
        </w:rPr>
        <w:t xml:space="preserve"> </w:t>
      </w:r>
      <w:r w:rsidR="00400A69">
        <w:rPr>
          <w:rFonts w:eastAsia="HG Mincho Light J" w:cs="Arial"/>
          <w:i/>
          <w:iCs/>
          <w:color w:val="00B050"/>
        </w:rPr>
        <w:t>les mêmes processus</w:t>
      </w:r>
      <w:r w:rsidR="00201725" w:rsidRPr="000773A9">
        <w:rPr>
          <w:rFonts w:eastAsia="HG Mincho Light J" w:cs="Arial"/>
          <w:i/>
          <w:iCs/>
          <w:color w:val="00B050"/>
        </w:rPr>
        <w:t xml:space="preserve"> en termes d’assurance qualité</w:t>
      </w:r>
      <w:r w:rsidRPr="000773A9">
        <w:rPr>
          <w:rFonts w:eastAsia="HG Mincho Light J" w:cs="Arial"/>
          <w:i/>
          <w:iCs/>
          <w:color w:val="00B050"/>
        </w:rPr>
        <w:t>.</w:t>
      </w:r>
      <w:r w:rsidR="003D51AA">
        <w:rPr>
          <w:rFonts w:eastAsia="HG Mincho Light J" w:cs="Arial"/>
          <w:i/>
          <w:iCs/>
          <w:color w:val="00B050"/>
        </w:rPr>
        <w:t xml:space="preserve"> La section B.5.5, embauche des ingénieurs diplômés doit cependant être traitée formation par formation</w:t>
      </w:r>
    </w:p>
    <w:p w14:paraId="7DF86C58" w14:textId="33939CE6" w:rsidR="00386B84" w:rsidRPr="00386B84" w:rsidRDefault="00386B84" w:rsidP="00386B84"/>
    <w:p w14:paraId="3E61582A" w14:textId="265E4F32" w:rsidR="00386B84" w:rsidRDefault="00400A69" w:rsidP="002E18E0">
      <w:pPr>
        <w:spacing w:after="0"/>
        <w:ind w:left="708"/>
        <w:rPr>
          <w:color w:val="0070C0"/>
        </w:rPr>
      </w:pPr>
      <w:r>
        <w:t>B.5</w:t>
      </w:r>
      <w:r w:rsidR="00D70595">
        <w:t>.</w:t>
      </w:r>
      <w:r w:rsidR="00386B84" w:rsidRPr="00386B84">
        <w:t xml:space="preserve">1. </w:t>
      </w:r>
      <w:r w:rsidR="0082286B" w:rsidRPr="0082286B">
        <w:t>Politique et processus d’assurance qualité des formations</w:t>
      </w:r>
      <w:r w:rsidR="00DE200B">
        <w:t xml:space="preserve"> </w:t>
      </w:r>
      <w:r w:rsidR="00DE200B" w:rsidRPr="00661FE2">
        <w:rPr>
          <w:color w:val="0070C0"/>
        </w:rPr>
        <w:t xml:space="preserve">(EAFSG </w:t>
      </w:r>
      <w:r w:rsidR="00DE200B">
        <w:rPr>
          <w:color w:val="0070C0"/>
        </w:rPr>
        <w:t>5</w:t>
      </w:r>
      <w:r w:rsidR="00DE200B" w:rsidRPr="00661FE2">
        <w:rPr>
          <w:color w:val="0070C0"/>
        </w:rPr>
        <w:t>.</w:t>
      </w:r>
      <w:r w:rsidR="00DE200B">
        <w:rPr>
          <w:color w:val="0070C0"/>
        </w:rPr>
        <w:t>1)</w:t>
      </w:r>
    </w:p>
    <w:p w14:paraId="07B6F9B1" w14:textId="19BA5633" w:rsidR="00E76F57" w:rsidRDefault="00E76F57" w:rsidP="00E76F57">
      <w:pPr>
        <w:ind w:left="708"/>
        <w:rPr>
          <w:color w:val="3C786A"/>
        </w:rPr>
      </w:pPr>
      <w:r w:rsidRPr="001E7EB5">
        <w:rPr>
          <w:color w:val="3C786A"/>
        </w:rPr>
        <w:t xml:space="preserve">Eléments de preuve : Structure organisationnelle de l’assurance qualité des formations.  </w:t>
      </w:r>
    </w:p>
    <w:p w14:paraId="37802830" w14:textId="0B10FE6B" w:rsidR="00386B84" w:rsidRDefault="00400A69" w:rsidP="00B52B2D">
      <w:pPr>
        <w:ind w:left="708"/>
        <w:rPr>
          <w:color w:val="0070C0"/>
        </w:rPr>
      </w:pPr>
      <w:r>
        <w:t>B.5</w:t>
      </w:r>
      <w:r w:rsidR="00386B84" w:rsidRPr="00386B84">
        <w:t xml:space="preserve">.2. </w:t>
      </w:r>
      <w:r w:rsidR="00E72E10" w:rsidRPr="00E72E10">
        <w:t>Système de pilotage de la formation</w:t>
      </w:r>
      <w:r w:rsidR="00DE200B">
        <w:t xml:space="preserve"> </w:t>
      </w:r>
      <w:r w:rsidR="00DE200B" w:rsidRPr="00661FE2">
        <w:rPr>
          <w:color w:val="0070C0"/>
        </w:rPr>
        <w:t xml:space="preserve">(EAFSG </w:t>
      </w:r>
      <w:r w:rsidR="00DE200B">
        <w:rPr>
          <w:color w:val="0070C0"/>
        </w:rPr>
        <w:t>5</w:t>
      </w:r>
      <w:r w:rsidR="00DE200B" w:rsidRPr="00661FE2">
        <w:rPr>
          <w:color w:val="0070C0"/>
        </w:rPr>
        <w:t>.</w:t>
      </w:r>
      <w:r w:rsidR="00DE200B">
        <w:rPr>
          <w:color w:val="0070C0"/>
        </w:rPr>
        <w:t>2)</w:t>
      </w:r>
    </w:p>
    <w:p w14:paraId="4A92869D" w14:textId="25FD0CC4" w:rsidR="00386B84" w:rsidRDefault="00400A69" w:rsidP="002E18E0">
      <w:pPr>
        <w:spacing w:after="0"/>
        <w:ind w:left="708"/>
        <w:rPr>
          <w:color w:val="0070C0"/>
        </w:rPr>
      </w:pPr>
      <w:r>
        <w:t>B.5</w:t>
      </w:r>
      <w:r w:rsidR="00090197">
        <w:t>.</w:t>
      </w:r>
      <w:r w:rsidR="00386B84" w:rsidRPr="00386B84">
        <w:t xml:space="preserve">3. </w:t>
      </w:r>
      <w:r w:rsidR="00A66455" w:rsidRPr="00A66455">
        <w:t>Révision et développement de la formation</w:t>
      </w:r>
      <w:r w:rsidR="00DE200B">
        <w:t xml:space="preserve"> </w:t>
      </w:r>
      <w:r w:rsidR="00DE200B" w:rsidRPr="00661FE2">
        <w:rPr>
          <w:color w:val="0070C0"/>
        </w:rPr>
        <w:t xml:space="preserve">(EAFSG </w:t>
      </w:r>
      <w:r w:rsidR="00DE200B">
        <w:rPr>
          <w:color w:val="0070C0"/>
        </w:rPr>
        <w:t>5</w:t>
      </w:r>
      <w:r w:rsidR="00DE200B" w:rsidRPr="00661FE2">
        <w:rPr>
          <w:color w:val="0070C0"/>
        </w:rPr>
        <w:t>.</w:t>
      </w:r>
      <w:r w:rsidR="00DE200B">
        <w:rPr>
          <w:color w:val="0070C0"/>
        </w:rPr>
        <w:t>3)</w:t>
      </w:r>
    </w:p>
    <w:p w14:paraId="3FB6B77B" w14:textId="7AE815D7" w:rsidR="00E76F57" w:rsidRPr="001E7EB5" w:rsidRDefault="00E76F57" w:rsidP="00E76F57">
      <w:pPr>
        <w:ind w:left="708"/>
        <w:rPr>
          <w:color w:val="3C786A"/>
        </w:rPr>
      </w:pPr>
      <w:r w:rsidRPr="001E7EB5">
        <w:rPr>
          <w:color w:val="3C786A"/>
        </w:rPr>
        <w:t>Éléments de preuve : politique et procédures de révision et de développement de la formation. Résultats de la plus récente révision de la formation.</w:t>
      </w:r>
    </w:p>
    <w:p w14:paraId="72431251" w14:textId="77DF7006" w:rsidR="00386B84" w:rsidRDefault="00400A69" w:rsidP="002E18E0">
      <w:pPr>
        <w:spacing w:after="0"/>
        <w:ind w:left="708"/>
        <w:rPr>
          <w:color w:val="0070C0"/>
        </w:rPr>
      </w:pPr>
      <w:r>
        <w:t>B.5</w:t>
      </w:r>
      <w:r w:rsidR="00386B84" w:rsidRPr="00386B84">
        <w:t xml:space="preserve">.4. </w:t>
      </w:r>
      <w:r w:rsidR="00A66455" w:rsidRPr="00A66455">
        <w:t>Retours des étudiants sur le processus d’apprentissage</w:t>
      </w:r>
      <w:r w:rsidR="00DE200B">
        <w:t xml:space="preserve"> </w:t>
      </w:r>
      <w:r w:rsidR="00DE200B" w:rsidRPr="00661FE2">
        <w:rPr>
          <w:color w:val="0070C0"/>
        </w:rPr>
        <w:t xml:space="preserve">(EAFSG </w:t>
      </w:r>
      <w:r w:rsidR="00DE200B">
        <w:rPr>
          <w:color w:val="0070C0"/>
        </w:rPr>
        <w:t>5</w:t>
      </w:r>
      <w:r w:rsidR="00DE200B" w:rsidRPr="00661FE2">
        <w:rPr>
          <w:color w:val="0070C0"/>
        </w:rPr>
        <w:t>.</w:t>
      </w:r>
      <w:r w:rsidR="00DE200B">
        <w:rPr>
          <w:color w:val="0070C0"/>
        </w:rPr>
        <w:t>4)</w:t>
      </w:r>
    </w:p>
    <w:p w14:paraId="0E59F879" w14:textId="51F08105" w:rsidR="00E76F57" w:rsidRDefault="00E76F57" w:rsidP="001E7EB5">
      <w:pPr>
        <w:ind w:left="708"/>
        <w:rPr>
          <w:color w:val="3C786A"/>
        </w:rPr>
      </w:pPr>
      <w:r w:rsidRPr="001E7EB5">
        <w:rPr>
          <w:color w:val="3C786A"/>
        </w:rPr>
        <w:lastRenderedPageBreak/>
        <w:t xml:space="preserve">Eléments de preuve : </w:t>
      </w:r>
      <w:r w:rsidR="006A2467" w:rsidRPr="001E7EB5">
        <w:rPr>
          <w:color w:val="3C786A"/>
        </w:rPr>
        <w:t>q</w:t>
      </w:r>
      <w:r w:rsidRPr="001E7EB5">
        <w:rPr>
          <w:color w:val="3C786A"/>
        </w:rPr>
        <w:t>uestionnaires d'évaluation des enseignements</w:t>
      </w:r>
      <w:r w:rsidR="0016331E" w:rsidRPr="001E7EB5">
        <w:rPr>
          <w:color w:val="3C786A"/>
        </w:rPr>
        <w:t xml:space="preserve"> avec les taux de réponse et résultats  </w:t>
      </w:r>
    </w:p>
    <w:p w14:paraId="1222B31A" w14:textId="58C9F8A6" w:rsidR="00386B84" w:rsidRDefault="00400A69" w:rsidP="002E18E0">
      <w:pPr>
        <w:spacing w:after="0"/>
        <w:ind w:left="708"/>
        <w:rPr>
          <w:color w:val="0070C0"/>
        </w:rPr>
      </w:pPr>
      <w:r>
        <w:t>B.5</w:t>
      </w:r>
      <w:r w:rsidR="00D05C42">
        <w:t>.5.</w:t>
      </w:r>
      <w:r w:rsidR="00386B84" w:rsidRPr="00386B84">
        <w:t xml:space="preserve"> </w:t>
      </w:r>
      <w:r w:rsidR="00D05C42" w:rsidRPr="00D05C42">
        <w:t>Embauche des ingénieurs diplômés</w:t>
      </w:r>
      <w:r w:rsidR="00DE200B">
        <w:t xml:space="preserve"> </w:t>
      </w:r>
      <w:r w:rsidR="00DE200B" w:rsidRPr="00661FE2">
        <w:rPr>
          <w:color w:val="0070C0"/>
        </w:rPr>
        <w:t xml:space="preserve">(EAFSG </w:t>
      </w:r>
      <w:r w:rsidR="00DE200B">
        <w:rPr>
          <w:color w:val="0070C0"/>
        </w:rPr>
        <w:t>5</w:t>
      </w:r>
      <w:r w:rsidR="00DE200B" w:rsidRPr="00661FE2">
        <w:rPr>
          <w:color w:val="0070C0"/>
        </w:rPr>
        <w:t>.</w:t>
      </w:r>
      <w:r w:rsidR="00DE200B">
        <w:rPr>
          <w:color w:val="0070C0"/>
        </w:rPr>
        <w:t>5)</w:t>
      </w:r>
    </w:p>
    <w:p w14:paraId="29AB1F73" w14:textId="1FC0B463" w:rsidR="0016331E" w:rsidRDefault="0016331E" w:rsidP="00B52B2D">
      <w:pPr>
        <w:ind w:left="708"/>
        <w:rPr>
          <w:color w:val="3C786A"/>
        </w:rPr>
      </w:pPr>
      <w:r w:rsidRPr="001E7EB5">
        <w:rPr>
          <w:color w:val="3C786A"/>
        </w:rPr>
        <w:t>Eléments de preuve : enquête d’insertion des diplômés avec taux de réponse</w:t>
      </w:r>
      <w:r w:rsidR="00AA789C" w:rsidRPr="001E7EB5">
        <w:rPr>
          <w:color w:val="3C786A"/>
        </w:rPr>
        <w:t xml:space="preserve"> et résultats</w:t>
      </w:r>
      <w:r w:rsidR="000372E7" w:rsidRPr="001E7EB5">
        <w:rPr>
          <w:color w:val="3C786A"/>
        </w:rPr>
        <w:t>, fréquence de l’enquête</w:t>
      </w:r>
    </w:p>
    <w:p w14:paraId="583DA1B8" w14:textId="5754D165" w:rsidR="00386B84" w:rsidRPr="00386B84" w:rsidRDefault="00400A69" w:rsidP="00B52B2D">
      <w:pPr>
        <w:ind w:left="708"/>
      </w:pPr>
      <w:r>
        <w:t>B.5</w:t>
      </w:r>
      <w:r w:rsidR="00D05C42">
        <w:t>.6.</w:t>
      </w:r>
      <w:r w:rsidR="002F57C0">
        <w:t xml:space="preserve"> </w:t>
      </w:r>
      <w:r w:rsidR="002F57C0" w:rsidRPr="002F57C0">
        <w:t>Accès public aux informations</w:t>
      </w:r>
      <w:r w:rsidR="00386B84" w:rsidRPr="00386B84">
        <w:t xml:space="preserve"> </w:t>
      </w:r>
      <w:r w:rsidR="00DE200B" w:rsidRPr="00661FE2">
        <w:rPr>
          <w:color w:val="0070C0"/>
        </w:rPr>
        <w:t xml:space="preserve">(EAFSG </w:t>
      </w:r>
      <w:r w:rsidR="00DE200B">
        <w:rPr>
          <w:color w:val="0070C0"/>
        </w:rPr>
        <w:t>5</w:t>
      </w:r>
      <w:r w:rsidR="00DE200B" w:rsidRPr="00661FE2">
        <w:rPr>
          <w:color w:val="0070C0"/>
        </w:rPr>
        <w:t>.</w:t>
      </w:r>
      <w:r w:rsidR="00DE200B">
        <w:rPr>
          <w:color w:val="0070C0"/>
        </w:rPr>
        <w:t>6)</w:t>
      </w:r>
    </w:p>
    <w:p w14:paraId="1C7B6375" w14:textId="69BACAE6" w:rsidR="00C022C7" w:rsidRDefault="007821B6" w:rsidP="00C022C7">
      <w:pPr>
        <w:ind w:left="708"/>
      </w:pPr>
      <w:r>
        <w:t xml:space="preserve">B.5. </w:t>
      </w:r>
      <w:r w:rsidR="00386B84" w:rsidRPr="00386B84">
        <w:t>Analyse SWOT</w:t>
      </w:r>
    </w:p>
    <w:p w14:paraId="3F68E726" w14:textId="77777777" w:rsidR="00C022C7" w:rsidRDefault="00C022C7" w:rsidP="00C022C7">
      <w:pPr>
        <w:ind w:left="708"/>
      </w:pPr>
    </w:p>
    <w:p w14:paraId="42AE9CB6" w14:textId="5BA38FDB" w:rsidR="00216BCF" w:rsidRPr="00216BCF" w:rsidRDefault="00216BCF" w:rsidP="00216BCF">
      <w:pPr>
        <w:pStyle w:val="Paragraphedeliste"/>
        <w:numPr>
          <w:ilvl w:val="0"/>
          <w:numId w:val="13"/>
        </w:numPr>
        <w:rPr>
          <w:b/>
          <w:bCs/>
        </w:rPr>
      </w:pPr>
      <w:r w:rsidRPr="00216BCF">
        <w:rPr>
          <w:b/>
          <w:bCs/>
        </w:rPr>
        <w:t xml:space="preserve">Éléments complémentaires d'appréciation hors EAFSG </w:t>
      </w:r>
    </w:p>
    <w:p w14:paraId="3FBEC3DD" w14:textId="77777777" w:rsidR="00216BCF" w:rsidRPr="002B52CF" w:rsidRDefault="00216BCF" w:rsidP="00E65E00">
      <w:pPr>
        <w:ind w:left="360"/>
        <w:rPr>
          <w:rFonts w:eastAsia="HG Mincho Light J" w:cs="Arial"/>
          <w:i/>
          <w:iCs/>
          <w:color w:val="00B050"/>
        </w:rPr>
      </w:pPr>
      <w:r w:rsidRPr="002B52CF">
        <w:rPr>
          <w:rFonts w:eastAsia="HG Mincho Light J" w:cs="Arial"/>
          <w:i/>
          <w:iCs/>
          <w:color w:val="00B050"/>
        </w:rPr>
        <w:t>Certains dispositifs ou autres éléments complémentaires, hors EAFSG, méritent d’être valorisés lorsqu’ils existent. Ces points peuvent être abordés formation par formation ou sous un paragraphe transverse regroupant les dispositifs sur l’ensemble des formations.</w:t>
      </w:r>
    </w:p>
    <w:p w14:paraId="146CD5A5" w14:textId="77777777" w:rsidR="00216BCF" w:rsidRPr="00E2242F" w:rsidRDefault="00216BCF" w:rsidP="00487009">
      <w:pPr>
        <w:pStyle w:val="Paragraphedeliste"/>
        <w:numPr>
          <w:ilvl w:val="1"/>
          <w:numId w:val="15"/>
        </w:numPr>
      </w:pPr>
      <w:r w:rsidRPr="00E2242F">
        <w:t>mobilité internationale</w:t>
      </w:r>
    </w:p>
    <w:p w14:paraId="2E4CE50C" w14:textId="77777777" w:rsidR="00216BCF" w:rsidRPr="00E2242F" w:rsidRDefault="00216BCF" w:rsidP="00487009">
      <w:pPr>
        <w:pStyle w:val="Paragraphedeliste"/>
        <w:numPr>
          <w:ilvl w:val="1"/>
          <w:numId w:val="15"/>
        </w:numPr>
      </w:pPr>
      <w:r w:rsidRPr="00E2242F">
        <w:t>formation à l'entreprise</w:t>
      </w:r>
    </w:p>
    <w:p w14:paraId="6E20D69E" w14:textId="6CC7E385" w:rsidR="00692095" w:rsidRPr="00E2242F" w:rsidRDefault="00216BCF" w:rsidP="00487009">
      <w:pPr>
        <w:pStyle w:val="Paragraphedeliste"/>
        <w:numPr>
          <w:ilvl w:val="1"/>
          <w:numId w:val="15"/>
        </w:numPr>
      </w:pPr>
      <w:r w:rsidRPr="00E2242F">
        <w:t>stages en entreprise des élèves</w:t>
      </w:r>
    </w:p>
    <w:p w14:paraId="146D88DE" w14:textId="4FA0FD43" w:rsidR="00216BCF" w:rsidRPr="00E2242F" w:rsidRDefault="00216BCF" w:rsidP="00487009">
      <w:pPr>
        <w:pStyle w:val="Paragraphedeliste"/>
        <w:numPr>
          <w:ilvl w:val="1"/>
          <w:numId w:val="15"/>
        </w:numPr>
      </w:pPr>
      <w:r w:rsidRPr="00E2242F">
        <w:t>formation par la recherche</w:t>
      </w:r>
    </w:p>
    <w:p w14:paraId="492878ED" w14:textId="77777777" w:rsidR="00216BCF" w:rsidRPr="00E2242F" w:rsidRDefault="00216BCF" w:rsidP="00487009">
      <w:pPr>
        <w:pStyle w:val="Paragraphedeliste"/>
        <w:numPr>
          <w:ilvl w:val="1"/>
          <w:numId w:val="15"/>
        </w:numPr>
      </w:pPr>
      <w:r w:rsidRPr="00E2242F">
        <w:t>formation à la responsabilité sociétale et environnementale</w:t>
      </w:r>
    </w:p>
    <w:p w14:paraId="30B3F27E" w14:textId="77777777" w:rsidR="00216BCF" w:rsidRPr="00E2242F" w:rsidRDefault="00216BCF" w:rsidP="00487009">
      <w:pPr>
        <w:pStyle w:val="Paragraphedeliste"/>
        <w:numPr>
          <w:ilvl w:val="1"/>
          <w:numId w:val="15"/>
        </w:numPr>
      </w:pPr>
      <w:r w:rsidRPr="00E2242F">
        <w:t>formation à l’innovation et à l’entrepreneuriat</w:t>
      </w:r>
    </w:p>
    <w:p w14:paraId="37C302EA" w14:textId="026A8FD0" w:rsidR="00216BCF" w:rsidRDefault="00216BCF" w:rsidP="00487009">
      <w:pPr>
        <w:pStyle w:val="Paragraphedeliste"/>
        <w:numPr>
          <w:ilvl w:val="1"/>
          <w:numId w:val="15"/>
        </w:numPr>
      </w:pPr>
      <w:r w:rsidRPr="00E2242F">
        <w:t>autres….</w:t>
      </w:r>
    </w:p>
    <w:p w14:paraId="2D458AC4" w14:textId="77777777" w:rsidR="00E2242F" w:rsidRPr="00E2242F" w:rsidRDefault="00E2242F" w:rsidP="002B52CF"/>
    <w:p w14:paraId="57478533" w14:textId="0475B4EA" w:rsidR="006F0EEE" w:rsidRDefault="00C022C7" w:rsidP="00C022C7">
      <w:pPr>
        <w:pStyle w:val="Paragraphedeliste"/>
        <w:numPr>
          <w:ilvl w:val="0"/>
          <w:numId w:val="13"/>
        </w:numPr>
        <w:rPr>
          <w:b/>
          <w:bCs/>
        </w:rPr>
      </w:pPr>
      <w:r w:rsidRPr="00C022C7">
        <w:rPr>
          <w:b/>
          <w:bCs/>
        </w:rPr>
        <w:t>Vie étudiante et vie associative des élèves ingénieurs</w:t>
      </w:r>
    </w:p>
    <w:p w14:paraId="26B65BF9" w14:textId="59BBA489" w:rsidR="00150F7A" w:rsidRDefault="00150F7A" w:rsidP="000773A9">
      <w:pPr>
        <w:pStyle w:val="Paragraphedeliste"/>
        <w:ind w:left="360"/>
        <w:rPr>
          <w:rFonts w:eastAsia="HG Mincho Light J" w:cs="Arial"/>
          <w:i/>
          <w:iCs/>
          <w:color w:val="00B050"/>
        </w:rPr>
      </w:pPr>
      <w:r w:rsidRPr="000773A9">
        <w:rPr>
          <w:rFonts w:eastAsia="HG Mincho Light J" w:cs="Arial"/>
          <w:i/>
          <w:iCs/>
          <w:color w:val="00B050"/>
        </w:rPr>
        <w:t xml:space="preserve">Les descriptions </w:t>
      </w:r>
      <w:r w:rsidR="0081260F">
        <w:rPr>
          <w:rFonts w:eastAsia="HG Mincho Light J" w:cs="Arial"/>
          <w:i/>
          <w:iCs/>
          <w:color w:val="00B050"/>
        </w:rPr>
        <w:t xml:space="preserve">des éléments relatifs à </w:t>
      </w:r>
      <w:r w:rsidRPr="000773A9">
        <w:rPr>
          <w:rFonts w:eastAsia="HG Mincho Light J" w:cs="Arial"/>
          <w:i/>
          <w:iCs/>
          <w:color w:val="00B050"/>
        </w:rPr>
        <w:t xml:space="preserve">la vie étudiante et la vie associative des élèves-ingénieurs n'apparaissent pas stricto sensu dans les lignes directrices des EAFSG. On s'attend néanmoins à ce que le rapport d'auto-évaluation apporte des informations générales sur ces thèmes et valorise les dispositifs existants.  </w:t>
      </w:r>
      <w:r w:rsidR="008A6C7A">
        <w:rPr>
          <w:rFonts w:eastAsia="HG Mincho Light J" w:cs="Arial"/>
          <w:i/>
          <w:iCs/>
          <w:color w:val="00B050"/>
        </w:rPr>
        <w:t xml:space="preserve">Une analyse SWOT peut </w:t>
      </w:r>
      <w:r w:rsidR="00636E1F">
        <w:rPr>
          <w:rFonts w:eastAsia="HG Mincho Light J" w:cs="Arial"/>
          <w:i/>
          <w:iCs/>
          <w:color w:val="00B050"/>
        </w:rPr>
        <w:t>venir compléter cette description.</w:t>
      </w:r>
    </w:p>
    <w:p w14:paraId="044FE756" w14:textId="77777777" w:rsidR="00823650" w:rsidRDefault="00823650" w:rsidP="000773A9">
      <w:pPr>
        <w:pStyle w:val="Paragraphedeliste"/>
        <w:ind w:left="360"/>
        <w:rPr>
          <w:rFonts w:eastAsia="HG Mincho Light J" w:cs="Arial"/>
          <w:i/>
          <w:iCs/>
          <w:color w:val="00B050"/>
        </w:rPr>
      </w:pPr>
    </w:p>
    <w:p w14:paraId="0C32427C" w14:textId="77777777" w:rsidR="00654D3A" w:rsidRDefault="00654D3A">
      <w:pPr>
        <w:rPr>
          <w:b/>
          <w:bCs/>
        </w:rPr>
      </w:pPr>
      <w:r>
        <w:rPr>
          <w:b/>
          <w:bCs/>
        </w:rPr>
        <w:br w:type="page"/>
      </w:r>
    </w:p>
    <w:p w14:paraId="0D38BDE2" w14:textId="343CE606" w:rsidR="00381611" w:rsidRDefault="00823650" w:rsidP="009324E7">
      <w:pPr>
        <w:pStyle w:val="Paragraphedeliste"/>
        <w:ind w:left="360"/>
        <w:jc w:val="center"/>
        <w:rPr>
          <w:b/>
          <w:bCs/>
        </w:rPr>
      </w:pPr>
      <w:r w:rsidRPr="0039296B">
        <w:rPr>
          <w:b/>
          <w:bCs/>
        </w:rPr>
        <w:lastRenderedPageBreak/>
        <w:t>Annexe</w:t>
      </w:r>
      <w:r w:rsidR="00BC0FDD">
        <w:rPr>
          <w:b/>
          <w:bCs/>
        </w:rPr>
        <w:t>s</w:t>
      </w:r>
    </w:p>
    <w:p w14:paraId="1E53C2BC" w14:textId="1CC2118B" w:rsidR="00BA1CE2" w:rsidRDefault="0031619C" w:rsidP="001536AA">
      <w:pPr>
        <w:pStyle w:val="Paragraphedeliste"/>
        <w:ind w:left="360"/>
        <w:jc w:val="center"/>
        <w:rPr>
          <w:rFonts w:eastAsia="HG Mincho Light J" w:cs="Arial"/>
        </w:rPr>
      </w:pPr>
      <w:r w:rsidRPr="0039296B">
        <w:rPr>
          <w:rFonts w:eastAsia="HG Mincho Light J" w:cs="Arial"/>
        </w:rPr>
        <w:t xml:space="preserve">Annexe 1 </w:t>
      </w:r>
      <w:r w:rsidR="0039296B" w:rsidRPr="0039296B">
        <w:rPr>
          <w:rFonts w:eastAsia="HG Mincho Light J" w:cs="Arial"/>
        </w:rPr>
        <w:t>–</w:t>
      </w:r>
      <w:r w:rsidRPr="0039296B">
        <w:rPr>
          <w:rFonts w:eastAsia="HG Mincho Light J" w:cs="Arial"/>
        </w:rPr>
        <w:t xml:space="preserve"> </w:t>
      </w:r>
      <w:r w:rsidR="00BA1CE2">
        <w:rPr>
          <w:rFonts w:eastAsia="HG Mincho Light J" w:cs="Arial"/>
        </w:rPr>
        <w:t>Tableau récapitulatif des critères EAFSG</w:t>
      </w:r>
    </w:p>
    <w:p w14:paraId="6C99E9C8" w14:textId="77777777" w:rsidR="00DC2352" w:rsidRDefault="00DC2352" w:rsidP="000773A9">
      <w:pPr>
        <w:pStyle w:val="Paragraphedeliste"/>
        <w:ind w:left="360"/>
        <w:rPr>
          <w:rFonts w:eastAsia="HG Mincho Light J" w:cs="Arial"/>
          <w:color w:val="00B050"/>
        </w:rPr>
      </w:pPr>
    </w:p>
    <w:p w14:paraId="51404E54" w14:textId="6CA6882A" w:rsidR="00671BE0" w:rsidRDefault="00DC2352" w:rsidP="00DC2352">
      <w:pPr>
        <w:pStyle w:val="Paragraphedeliste"/>
        <w:ind w:left="360"/>
        <w:rPr>
          <w:rFonts w:eastAsia="HG Mincho Light J" w:cs="Arial"/>
          <w:color w:val="00B050"/>
        </w:rPr>
      </w:pPr>
      <w:r>
        <w:rPr>
          <w:rFonts w:eastAsia="HG Mincho Light J" w:cs="Arial"/>
          <w:color w:val="00B050"/>
        </w:rPr>
        <w:t>Le référentiel complet est décrit dans le document</w:t>
      </w:r>
      <w:r w:rsidR="00671BE0">
        <w:rPr>
          <w:rFonts w:eastAsia="HG Mincho Light J" w:cs="Arial"/>
          <w:color w:val="00B050"/>
        </w:rPr>
        <w:t xml:space="preserve"> </w:t>
      </w:r>
      <w:r w:rsidR="00671BE0" w:rsidRPr="0001652C">
        <w:rPr>
          <w:rFonts w:eastAsia="HG Mincho Light J" w:cs="Arial"/>
          <w:color w:val="00B050"/>
          <w:vertAlign w:val="superscript"/>
        </w:rPr>
        <w:t>1</w:t>
      </w:r>
      <w:r w:rsidR="00671BE0">
        <w:rPr>
          <w:rFonts w:eastAsia="HG Mincho Light J" w:cs="Arial"/>
          <w:color w:val="00B050"/>
        </w:rPr>
        <w:t>. Seules les lignes directrices sont rappelées ici.</w:t>
      </w:r>
    </w:p>
    <w:p w14:paraId="130BA271" w14:textId="4428B327" w:rsidR="00671BE0" w:rsidRDefault="00671BE0" w:rsidP="000773A9">
      <w:pPr>
        <w:pStyle w:val="Paragraphedeliste"/>
        <w:ind w:left="360"/>
        <w:rPr>
          <w:rFonts w:eastAsia="HG Mincho Light J" w:cs="Arial"/>
          <w:color w:val="00B050"/>
        </w:rPr>
      </w:pPr>
    </w:p>
    <w:p w14:paraId="0BD322D2" w14:textId="14621D53" w:rsidR="00CF1591" w:rsidRDefault="00CF1591" w:rsidP="000773A9">
      <w:pPr>
        <w:pStyle w:val="Paragraphedeliste"/>
        <w:ind w:left="360"/>
        <w:rPr>
          <w:rFonts w:eastAsia="HG Mincho Light J" w:cs="Arial"/>
          <w:color w:val="00B050"/>
        </w:rPr>
      </w:pPr>
      <w:r w:rsidRPr="00CF1591">
        <w:rPr>
          <w:rFonts w:eastAsia="HG Mincho Light J" w:cs="Arial"/>
          <w:color w:val="00B050"/>
        </w:rPr>
        <w:t>LIGNES DIRECTRICES RELATIVES AUX EXERCICES D’AUTO-ÉVALUATION DES EES ET AUX PROCESSUS D’ACCRÉDITATION DES AGENCES</w:t>
      </w:r>
      <w:r w:rsidR="00142181">
        <w:rPr>
          <w:rStyle w:val="Appelnotedebasdep"/>
          <w:rFonts w:eastAsia="HG Mincho Light J" w:cs="Arial"/>
          <w:color w:val="00B050"/>
        </w:rPr>
        <w:footnoteReference w:id="2"/>
      </w:r>
    </w:p>
    <w:p w14:paraId="6D702153" w14:textId="77777777" w:rsidR="00A54C54" w:rsidRDefault="00A54C54" w:rsidP="000773A9">
      <w:pPr>
        <w:pStyle w:val="Paragraphedeliste"/>
        <w:ind w:left="360"/>
        <w:rPr>
          <w:rFonts w:eastAsia="HG Mincho Light J" w:cs="Arial"/>
          <w:color w:val="00B050"/>
          <w:sz w:val="16"/>
          <w:szCs w:val="16"/>
        </w:rPr>
      </w:pPr>
    </w:p>
    <w:p w14:paraId="159D983C" w14:textId="77777777" w:rsidR="008F1DCC" w:rsidRPr="006A16DC" w:rsidRDefault="008F1DCC" w:rsidP="000773A9">
      <w:pPr>
        <w:pStyle w:val="Paragraphedeliste"/>
        <w:ind w:left="360"/>
        <w:rPr>
          <w:rFonts w:eastAsia="HG Mincho Light J" w:cs="Arial"/>
          <w:color w:val="00B050"/>
          <w:sz w:val="16"/>
          <w:szCs w:val="16"/>
        </w:rPr>
      </w:pPr>
    </w:p>
    <w:tbl>
      <w:tblPr>
        <w:tblStyle w:val="TableGrid"/>
        <w:tblW w:w="9065" w:type="dxa"/>
        <w:tblInd w:w="423" w:type="dxa"/>
        <w:tblCellMar>
          <w:top w:w="60" w:type="dxa"/>
          <w:left w:w="80" w:type="dxa"/>
          <w:right w:w="44" w:type="dxa"/>
        </w:tblCellMar>
        <w:tblLook w:val="04A0" w:firstRow="1" w:lastRow="0" w:firstColumn="1" w:lastColumn="0" w:noHBand="0" w:noVBand="1"/>
      </w:tblPr>
      <w:tblGrid>
        <w:gridCol w:w="2809"/>
        <w:gridCol w:w="6256"/>
      </w:tblGrid>
      <w:tr w:rsidR="00A8121E" w:rsidRPr="006A16DC" w14:paraId="42886BB2" w14:textId="77777777" w:rsidTr="008E2D7E">
        <w:trPr>
          <w:trHeight w:val="275"/>
        </w:trPr>
        <w:tc>
          <w:tcPr>
            <w:tcW w:w="2809" w:type="dxa"/>
            <w:tcBorders>
              <w:top w:val="single" w:sz="2" w:space="0" w:color="555655"/>
              <w:left w:val="single" w:sz="2" w:space="0" w:color="555655"/>
              <w:bottom w:val="single" w:sz="2" w:space="0" w:color="555655"/>
              <w:right w:val="nil"/>
            </w:tcBorders>
            <w:shd w:val="clear" w:color="auto" w:fill="FFEEDD"/>
          </w:tcPr>
          <w:p w14:paraId="3DCF9D15" w14:textId="77777777" w:rsidR="00A8121E" w:rsidRPr="006A16DC" w:rsidRDefault="00A8121E" w:rsidP="00A8121E">
            <w:pPr>
              <w:spacing w:line="259" w:lineRule="auto"/>
              <w:rPr>
                <w:rFonts w:eastAsia="Calibri" w:cs="Calibri"/>
                <w:b/>
                <w:color w:val="555655"/>
                <w:sz w:val="16"/>
                <w:szCs w:val="16"/>
              </w:rPr>
            </w:pPr>
          </w:p>
        </w:tc>
        <w:tc>
          <w:tcPr>
            <w:tcW w:w="6256" w:type="dxa"/>
            <w:tcBorders>
              <w:top w:val="single" w:sz="2" w:space="0" w:color="555655"/>
              <w:left w:val="nil"/>
              <w:bottom w:val="single" w:sz="2" w:space="0" w:color="555655"/>
              <w:right w:val="single" w:sz="2" w:space="0" w:color="555655"/>
            </w:tcBorders>
            <w:shd w:val="clear" w:color="auto" w:fill="FFEEDD"/>
          </w:tcPr>
          <w:p w14:paraId="60CA0E03" w14:textId="77777777" w:rsidR="00A8121E" w:rsidRPr="006A16DC" w:rsidRDefault="00A8121E" w:rsidP="00A8121E">
            <w:pPr>
              <w:spacing w:line="259" w:lineRule="auto"/>
              <w:ind w:left="744"/>
              <w:rPr>
                <w:rFonts w:eastAsia="Calibri" w:cs="Calibri"/>
                <w:b/>
                <w:color w:val="555655"/>
                <w:sz w:val="16"/>
                <w:szCs w:val="16"/>
              </w:rPr>
            </w:pPr>
            <w:r w:rsidRPr="006A16DC">
              <w:rPr>
                <w:rFonts w:eastAsia="Calibri" w:cs="Calibri"/>
                <w:b/>
                <w:color w:val="555655"/>
                <w:sz w:val="16"/>
                <w:szCs w:val="16"/>
              </w:rPr>
              <w:t>1. Objectifs de la formation</w:t>
            </w:r>
          </w:p>
        </w:tc>
      </w:tr>
      <w:tr w:rsidR="00A8121E" w:rsidRPr="006A16DC" w14:paraId="60C6E764" w14:textId="77777777" w:rsidTr="008E2D7E">
        <w:trPr>
          <w:trHeight w:val="959"/>
        </w:trPr>
        <w:tc>
          <w:tcPr>
            <w:tcW w:w="2809" w:type="dxa"/>
            <w:vMerge w:val="restart"/>
            <w:tcBorders>
              <w:top w:val="single" w:sz="2" w:space="0" w:color="555655"/>
              <w:left w:val="single" w:sz="2" w:space="0" w:color="555655"/>
              <w:bottom w:val="single" w:sz="2" w:space="0" w:color="555655"/>
              <w:right w:val="single" w:sz="2" w:space="0" w:color="555655"/>
            </w:tcBorders>
            <w:vAlign w:val="center"/>
          </w:tcPr>
          <w:p w14:paraId="06986701" w14:textId="77777777" w:rsidR="00A8121E" w:rsidRPr="006A16DC" w:rsidRDefault="00A8121E" w:rsidP="00A8121E">
            <w:pPr>
              <w:spacing w:line="259" w:lineRule="auto"/>
              <w:rPr>
                <w:rFonts w:eastAsia="Calibri" w:cs="Calibri"/>
                <w:b/>
                <w:color w:val="555655"/>
                <w:sz w:val="16"/>
                <w:szCs w:val="16"/>
              </w:rPr>
            </w:pPr>
            <w:r w:rsidRPr="006A16DC">
              <w:rPr>
                <w:rFonts w:eastAsia="Calibri" w:cs="Calibri"/>
                <w:b/>
                <w:color w:val="555655"/>
                <w:sz w:val="16"/>
                <w:szCs w:val="16"/>
              </w:rPr>
              <w:t>1.1 Besoins en formation du marché du travail et d’autres parties prenantes</w:t>
            </w:r>
          </w:p>
        </w:tc>
        <w:tc>
          <w:tcPr>
            <w:tcW w:w="6256" w:type="dxa"/>
            <w:tcBorders>
              <w:top w:val="single" w:sz="2" w:space="0" w:color="555655"/>
              <w:left w:val="single" w:sz="2" w:space="0" w:color="555655"/>
              <w:bottom w:val="single" w:sz="2" w:space="0" w:color="555655"/>
              <w:right w:val="single" w:sz="2" w:space="0" w:color="555655"/>
            </w:tcBorders>
          </w:tcPr>
          <w:p w14:paraId="1FB454F3" w14:textId="77777777" w:rsidR="00A8121E" w:rsidRPr="006A16DC" w:rsidRDefault="00A8121E" w:rsidP="00A8121E">
            <w:pPr>
              <w:spacing w:after="49" w:line="259" w:lineRule="auto"/>
              <w:rPr>
                <w:rFonts w:eastAsia="Calibri" w:cs="Calibri"/>
                <w:b/>
                <w:color w:val="555655"/>
                <w:sz w:val="16"/>
                <w:szCs w:val="16"/>
              </w:rPr>
            </w:pPr>
            <w:r w:rsidRPr="006A16DC">
              <w:rPr>
                <w:rFonts w:eastAsia="Calibri" w:cs="Calibri"/>
                <w:b/>
                <w:color w:val="555655"/>
                <w:sz w:val="16"/>
                <w:szCs w:val="16"/>
              </w:rPr>
              <w:t>Documents à fournir</w:t>
            </w:r>
          </w:p>
          <w:p w14:paraId="642BC1F8" w14:textId="77777777" w:rsidR="00A8121E" w:rsidRPr="004B40F7" w:rsidRDefault="00A8121E" w:rsidP="00A8121E">
            <w:pPr>
              <w:spacing w:after="57" w:line="249" w:lineRule="auto"/>
              <w:rPr>
                <w:rFonts w:eastAsia="Calibri" w:cs="Calibri"/>
                <w:bCs/>
                <w:color w:val="555655"/>
                <w:sz w:val="16"/>
                <w:szCs w:val="16"/>
              </w:rPr>
            </w:pPr>
            <w:r w:rsidRPr="004B40F7">
              <w:rPr>
                <w:rFonts w:eastAsia="Calibri" w:cs="Calibri"/>
                <w:bCs/>
                <w:color w:val="555655"/>
                <w:sz w:val="16"/>
                <w:szCs w:val="16"/>
              </w:rPr>
              <w:t xml:space="preserve">Secteurs industriels, organismes pour l’emploi et autres parties prenantes concernés consultés, méthodes et calendrier de consultation. </w:t>
            </w:r>
          </w:p>
          <w:p w14:paraId="7DBD432C" w14:textId="77777777" w:rsidR="00A8121E" w:rsidRPr="006A16DC" w:rsidRDefault="00A8121E" w:rsidP="00A8121E">
            <w:pPr>
              <w:spacing w:line="259" w:lineRule="auto"/>
              <w:rPr>
                <w:rFonts w:eastAsia="Calibri" w:cs="Calibri"/>
                <w:b/>
                <w:color w:val="555655"/>
                <w:sz w:val="16"/>
                <w:szCs w:val="16"/>
              </w:rPr>
            </w:pPr>
            <w:r w:rsidRPr="004B40F7">
              <w:rPr>
                <w:rFonts w:eastAsia="Calibri" w:cs="Calibri"/>
                <w:bCs/>
                <w:color w:val="555655"/>
                <w:sz w:val="16"/>
                <w:szCs w:val="16"/>
              </w:rPr>
              <w:t>Besoins en formation du marché du travail et d’autres parties prenantes identifiés</w:t>
            </w:r>
            <w:r w:rsidRPr="006A16DC">
              <w:rPr>
                <w:rFonts w:eastAsia="Calibri" w:cs="Calibri"/>
                <w:b/>
                <w:color w:val="555655"/>
                <w:sz w:val="16"/>
                <w:szCs w:val="16"/>
              </w:rPr>
              <w:t>.</w:t>
            </w:r>
          </w:p>
        </w:tc>
      </w:tr>
      <w:tr w:rsidR="00A8121E" w:rsidRPr="006A16DC" w14:paraId="6CE44D8A" w14:textId="77777777" w:rsidTr="008E2D7E">
        <w:trPr>
          <w:trHeight w:val="1719"/>
        </w:trPr>
        <w:tc>
          <w:tcPr>
            <w:tcW w:w="0" w:type="auto"/>
            <w:vMerge/>
            <w:tcBorders>
              <w:top w:val="nil"/>
              <w:left w:val="single" w:sz="2" w:space="0" w:color="555655"/>
              <w:bottom w:val="single" w:sz="2" w:space="0" w:color="555655"/>
              <w:right w:val="single" w:sz="2" w:space="0" w:color="555655"/>
            </w:tcBorders>
          </w:tcPr>
          <w:p w14:paraId="49A7E3A2" w14:textId="77777777" w:rsidR="00A8121E" w:rsidRPr="006A16DC" w:rsidRDefault="00A8121E" w:rsidP="00A8121E">
            <w:pPr>
              <w:spacing w:line="259" w:lineRule="auto"/>
              <w:rPr>
                <w:rFonts w:eastAsia="Calibri" w:cs="Calibri"/>
                <w:b/>
                <w:color w:val="555655"/>
                <w:sz w:val="16"/>
                <w:szCs w:val="16"/>
              </w:rPr>
            </w:pPr>
          </w:p>
        </w:tc>
        <w:tc>
          <w:tcPr>
            <w:tcW w:w="6256" w:type="dxa"/>
            <w:tcBorders>
              <w:top w:val="single" w:sz="2" w:space="0" w:color="555655"/>
              <w:left w:val="single" w:sz="2" w:space="0" w:color="555655"/>
              <w:bottom w:val="single" w:sz="2" w:space="0" w:color="555655"/>
              <w:right w:val="single" w:sz="2" w:space="0" w:color="555655"/>
            </w:tcBorders>
          </w:tcPr>
          <w:p w14:paraId="48D4A4CE" w14:textId="77777777" w:rsidR="00A8121E" w:rsidRPr="006A16DC" w:rsidRDefault="00A8121E" w:rsidP="00A8121E">
            <w:pPr>
              <w:spacing w:after="49" w:line="259" w:lineRule="auto"/>
              <w:rPr>
                <w:rFonts w:eastAsia="Calibri" w:cs="Calibri"/>
                <w:b/>
                <w:color w:val="555655"/>
                <w:sz w:val="16"/>
                <w:szCs w:val="16"/>
              </w:rPr>
            </w:pPr>
            <w:r w:rsidRPr="006A16DC">
              <w:rPr>
                <w:rFonts w:eastAsia="Calibri" w:cs="Calibri"/>
                <w:b/>
                <w:color w:val="555655"/>
                <w:sz w:val="16"/>
                <w:szCs w:val="16"/>
              </w:rPr>
              <w:t>Questions à se poser</w:t>
            </w:r>
          </w:p>
          <w:p w14:paraId="20C33C58" w14:textId="77777777" w:rsidR="00A8121E" w:rsidRPr="004B40F7" w:rsidRDefault="00A8121E" w:rsidP="00A8121E">
            <w:pPr>
              <w:spacing w:after="57" w:line="249" w:lineRule="auto"/>
              <w:rPr>
                <w:rFonts w:eastAsia="Calibri" w:cs="Calibri"/>
                <w:bCs/>
                <w:color w:val="555655"/>
                <w:sz w:val="16"/>
                <w:szCs w:val="16"/>
              </w:rPr>
            </w:pPr>
            <w:r w:rsidRPr="004B40F7">
              <w:rPr>
                <w:rFonts w:eastAsia="Calibri" w:cs="Calibri"/>
                <w:bCs/>
                <w:color w:val="555655"/>
                <w:sz w:val="16"/>
                <w:szCs w:val="16"/>
              </w:rPr>
              <w:t>Les secteurs industriels, organismes pour l’emploi et autres parties prenantes concernés ont-ils été consultés ? La méthodologie et le calendrier de consultation utilisés étaient-ils appropriés pour identifier leurs besoins en formation ?</w:t>
            </w:r>
          </w:p>
          <w:p w14:paraId="7CEEB6B6" w14:textId="5FDA1648" w:rsidR="00A8121E" w:rsidRPr="006A16DC" w:rsidRDefault="00A8121E" w:rsidP="00A8121E">
            <w:pPr>
              <w:spacing w:line="259" w:lineRule="auto"/>
              <w:rPr>
                <w:rFonts w:eastAsia="Calibri" w:cs="Calibri"/>
                <w:b/>
                <w:color w:val="555655"/>
                <w:sz w:val="16"/>
                <w:szCs w:val="16"/>
              </w:rPr>
            </w:pPr>
            <w:r w:rsidRPr="004B40F7">
              <w:rPr>
                <w:rFonts w:eastAsia="Calibri" w:cs="Calibri"/>
                <w:bCs/>
                <w:color w:val="555655"/>
                <w:sz w:val="16"/>
                <w:szCs w:val="16"/>
              </w:rPr>
              <w:t>Les besoins en formation de ces parties prenantes ont-ils été identifiés de manière à faciliter la définition des objectifs et acquis de formation, c’est</w:t>
            </w:r>
            <w:r w:rsidR="008F1DCC">
              <w:rPr>
                <w:rFonts w:eastAsia="Calibri" w:cs="Calibri"/>
                <w:bCs/>
                <w:color w:val="555655"/>
                <w:sz w:val="16"/>
                <w:szCs w:val="16"/>
              </w:rPr>
              <w:t>-</w:t>
            </w:r>
            <w:r w:rsidRPr="004B40F7">
              <w:rPr>
                <w:rFonts w:eastAsia="Calibri" w:cs="Calibri"/>
                <w:bCs/>
                <w:color w:val="555655"/>
                <w:sz w:val="16"/>
                <w:szCs w:val="16"/>
              </w:rPr>
              <w:t>à-dire en termes de profils/fonctions/ rôles/activités professionnels attendus de la part des ingénieurs diplômés, et des compétences nécessaires associées ?</w:t>
            </w:r>
          </w:p>
        </w:tc>
      </w:tr>
      <w:tr w:rsidR="00A8121E" w:rsidRPr="006A16DC" w14:paraId="60FA2DB6" w14:textId="77777777" w:rsidTr="008E2D7E">
        <w:trPr>
          <w:trHeight w:val="608"/>
        </w:trPr>
        <w:tc>
          <w:tcPr>
            <w:tcW w:w="2809" w:type="dxa"/>
            <w:vMerge w:val="restart"/>
            <w:tcBorders>
              <w:top w:val="single" w:sz="2" w:space="0" w:color="555655"/>
              <w:left w:val="single" w:sz="2" w:space="0" w:color="555655"/>
              <w:bottom w:val="single" w:sz="2" w:space="0" w:color="555655"/>
              <w:right w:val="single" w:sz="2" w:space="0" w:color="555655"/>
            </w:tcBorders>
            <w:vAlign w:val="center"/>
          </w:tcPr>
          <w:p w14:paraId="0D7F96DB" w14:textId="77777777" w:rsidR="00A8121E" w:rsidRPr="006A16DC" w:rsidRDefault="00A8121E" w:rsidP="00A8121E">
            <w:pPr>
              <w:spacing w:line="259" w:lineRule="auto"/>
              <w:rPr>
                <w:rFonts w:eastAsia="Calibri" w:cs="Calibri"/>
                <w:b/>
                <w:color w:val="555655"/>
                <w:sz w:val="16"/>
                <w:szCs w:val="16"/>
              </w:rPr>
            </w:pPr>
            <w:r w:rsidRPr="006A16DC">
              <w:rPr>
                <w:rFonts w:eastAsia="Calibri" w:cs="Calibri"/>
                <w:b/>
                <w:color w:val="555655"/>
                <w:sz w:val="16"/>
                <w:szCs w:val="16"/>
              </w:rPr>
              <w:t>1.2 Objectifs de la formation</w:t>
            </w:r>
          </w:p>
        </w:tc>
        <w:tc>
          <w:tcPr>
            <w:tcW w:w="6256" w:type="dxa"/>
            <w:tcBorders>
              <w:top w:val="single" w:sz="2" w:space="0" w:color="555655"/>
              <w:left w:val="single" w:sz="2" w:space="0" w:color="555655"/>
              <w:bottom w:val="single" w:sz="2" w:space="0" w:color="555655"/>
              <w:right w:val="single" w:sz="2" w:space="0" w:color="555655"/>
            </w:tcBorders>
          </w:tcPr>
          <w:p w14:paraId="72CAFC70" w14:textId="77777777" w:rsidR="00A8121E" w:rsidRPr="006A16DC" w:rsidRDefault="00A8121E" w:rsidP="00A8121E">
            <w:pPr>
              <w:spacing w:after="49" w:line="259" w:lineRule="auto"/>
              <w:rPr>
                <w:rFonts w:eastAsia="Calibri" w:cs="Calibri"/>
                <w:b/>
                <w:color w:val="555655"/>
                <w:sz w:val="16"/>
                <w:szCs w:val="16"/>
              </w:rPr>
            </w:pPr>
            <w:r w:rsidRPr="006A16DC">
              <w:rPr>
                <w:rFonts w:eastAsia="Calibri" w:cs="Calibri"/>
                <w:b/>
                <w:color w:val="555655"/>
                <w:sz w:val="16"/>
                <w:szCs w:val="16"/>
              </w:rPr>
              <w:t>Documents à fournir</w:t>
            </w:r>
          </w:p>
          <w:p w14:paraId="70434D52" w14:textId="77777777" w:rsidR="00A8121E" w:rsidRPr="004B40F7" w:rsidRDefault="00A8121E" w:rsidP="00A8121E">
            <w:pPr>
              <w:spacing w:line="259" w:lineRule="auto"/>
              <w:rPr>
                <w:rFonts w:eastAsia="Calibri" w:cs="Calibri"/>
                <w:bCs/>
                <w:color w:val="555655"/>
                <w:sz w:val="16"/>
                <w:szCs w:val="16"/>
              </w:rPr>
            </w:pPr>
            <w:r w:rsidRPr="004B40F7">
              <w:rPr>
                <w:rFonts w:eastAsia="Calibri" w:cs="Calibri"/>
                <w:bCs/>
                <w:color w:val="555655"/>
                <w:sz w:val="16"/>
                <w:szCs w:val="16"/>
              </w:rPr>
              <w:t>Objectifs de la formation.</w:t>
            </w:r>
          </w:p>
        </w:tc>
      </w:tr>
      <w:tr w:rsidR="00A8121E" w:rsidRPr="006A16DC" w14:paraId="069DF3E1" w14:textId="77777777" w:rsidTr="008E2D7E">
        <w:trPr>
          <w:trHeight w:val="1529"/>
        </w:trPr>
        <w:tc>
          <w:tcPr>
            <w:tcW w:w="0" w:type="auto"/>
            <w:vMerge/>
            <w:tcBorders>
              <w:top w:val="nil"/>
              <w:left w:val="single" w:sz="2" w:space="0" w:color="555655"/>
              <w:bottom w:val="single" w:sz="2" w:space="0" w:color="555655"/>
              <w:right w:val="single" w:sz="2" w:space="0" w:color="555655"/>
            </w:tcBorders>
          </w:tcPr>
          <w:p w14:paraId="78B880BF" w14:textId="77777777" w:rsidR="00A8121E" w:rsidRPr="006A16DC" w:rsidRDefault="00A8121E" w:rsidP="00A8121E">
            <w:pPr>
              <w:spacing w:line="259" w:lineRule="auto"/>
              <w:rPr>
                <w:rFonts w:eastAsia="Calibri" w:cs="Calibri"/>
                <w:b/>
                <w:color w:val="555655"/>
                <w:sz w:val="16"/>
                <w:szCs w:val="16"/>
              </w:rPr>
            </w:pPr>
          </w:p>
        </w:tc>
        <w:tc>
          <w:tcPr>
            <w:tcW w:w="6256" w:type="dxa"/>
            <w:tcBorders>
              <w:top w:val="single" w:sz="2" w:space="0" w:color="555655"/>
              <w:left w:val="single" w:sz="2" w:space="0" w:color="555655"/>
              <w:bottom w:val="single" w:sz="2" w:space="0" w:color="555655"/>
              <w:right w:val="single" w:sz="2" w:space="0" w:color="555655"/>
            </w:tcBorders>
          </w:tcPr>
          <w:p w14:paraId="5930133A" w14:textId="77777777" w:rsidR="00A8121E" w:rsidRPr="006A16DC" w:rsidRDefault="00A8121E" w:rsidP="00A8121E">
            <w:pPr>
              <w:spacing w:after="49" w:line="259" w:lineRule="auto"/>
              <w:rPr>
                <w:rFonts w:eastAsia="Calibri" w:cs="Calibri"/>
                <w:b/>
                <w:color w:val="555655"/>
                <w:sz w:val="16"/>
                <w:szCs w:val="16"/>
              </w:rPr>
            </w:pPr>
            <w:r w:rsidRPr="006A16DC">
              <w:rPr>
                <w:rFonts w:eastAsia="Calibri" w:cs="Calibri"/>
                <w:b/>
                <w:color w:val="555655"/>
                <w:sz w:val="16"/>
                <w:szCs w:val="16"/>
              </w:rPr>
              <w:t>Questions à se poser</w:t>
            </w:r>
          </w:p>
          <w:p w14:paraId="245E6B05" w14:textId="77777777" w:rsidR="00A8121E" w:rsidRPr="004B40F7" w:rsidRDefault="00A8121E" w:rsidP="00A8121E">
            <w:pPr>
              <w:spacing w:after="57" w:line="249" w:lineRule="auto"/>
              <w:ind w:right="144"/>
              <w:rPr>
                <w:rFonts w:eastAsia="Calibri" w:cs="Calibri"/>
                <w:bCs/>
                <w:color w:val="555655"/>
                <w:sz w:val="16"/>
                <w:szCs w:val="16"/>
              </w:rPr>
            </w:pPr>
            <w:r w:rsidRPr="004B40F7">
              <w:rPr>
                <w:rFonts w:eastAsia="Calibri" w:cs="Calibri"/>
                <w:bCs/>
                <w:color w:val="555655"/>
                <w:sz w:val="16"/>
                <w:szCs w:val="16"/>
              </w:rPr>
              <w:t>Les objectifs de la formation ont-ils été définis en termes de profils professionnels des ingénieurs diplômés, et/ou des rôles/activités pour lesquels les étudiants sont préparés, et des compétences associées que les étudiants doivent acquérir au cours du processus d’apprentissage ?</w:t>
            </w:r>
          </w:p>
          <w:p w14:paraId="553C5537" w14:textId="77777777" w:rsidR="00A8121E" w:rsidRPr="006A16DC" w:rsidRDefault="00A8121E" w:rsidP="00A8121E">
            <w:pPr>
              <w:spacing w:line="259" w:lineRule="auto"/>
              <w:rPr>
                <w:rFonts w:eastAsia="Calibri" w:cs="Calibri"/>
                <w:b/>
                <w:color w:val="555655"/>
                <w:sz w:val="16"/>
                <w:szCs w:val="16"/>
              </w:rPr>
            </w:pPr>
            <w:r w:rsidRPr="004B40F7">
              <w:rPr>
                <w:rFonts w:eastAsia="Calibri" w:cs="Calibri"/>
                <w:bCs/>
                <w:color w:val="555655"/>
                <w:sz w:val="16"/>
                <w:szCs w:val="16"/>
              </w:rPr>
              <w:t>Les objectifs de la formation sont-ils cohérents avec la mission de l’institution et les besoins en formation du marché du travail identifiés ?</w:t>
            </w:r>
          </w:p>
        </w:tc>
      </w:tr>
      <w:tr w:rsidR="00A8121E" w:rsidRPr="006A16DC" w14:paraId="75107A64" w14:textId="77777777" w:rsidTr="008E2D7E">
        <w:trPr>
          <w:trHeight w:val="522"/>
        </w:trPr>
        <w:tc>
          <w:tcPr>
            <w:tcW w:w="2809" w:type="dxa"/>
            <w:vMerge w:val="restart"/>
            <w:tcBorders>
              <w:top w:val="single" w:sz="2" w:space="0" w:color="555655"/>
              <w:left w:val="single" w:sz="2" w:space="0" w:color="555655"/>
              <w:bottom w:val="single" w:sz="2" w:space="0" w:color="555655"/>
              <w:right w:val="single" w:sz="2" w:space="0" w:color="555655"/>
            </w:tcBorders>
            <w:vAlign w:val="center"/>
          </w:tcPr>
          <w:p w14:paraId="74A1AA7E" w14:textId="77777777" w:rsidR="00A8121E" w:rsidRPr="006A16DC" w:rsidRDefault="00A8121E" w:rsidP="00A8121E">
            <w:pPr>
              <w:spacing w:line="259" w:lineRule="auto"/>
              <w:rPr>
                <w:rFonts w:eastAsia="Calibri" w:cs="Calibri"/>
                <w:b/>
                <w:color w:val="555655"/>
                <w:sz w:val="16"/>
                <w:szCs w:val="16"/>
              </w:rPr>
            </w:pPr>
            <w:r w:rsidRPr="006A16DC">
              <w:rPr>
                <w:rFonts w:eastAsia="Calibri" w:cs="Calibri"/>
                <w:b/>
                <w:color w:val="555655"/>
                <w:sz w:val="16"/>
                <w:szCs w:val="16"/>
              </w:rPr>
              <w:t>1.3 Acquis de formation</w:t>
            </w:r>
          </w:p>
        </w:tc>
        <w:tc>
          <w:tcPr>
            <w:tcW w:w="6256" w:type="dxa"/>
            <w:tcBorders>
              <w:top w:val="single" w:sz="2" w:space="0" w:color="555655"/>
              <w:left w:val="single" w:sz="2" w:space="0" w:color="555655"/>
              <w:bottom w:val="single" w:sz="2" w:space="0" w:color="555655"/>
              <w:right w:val="single" w:sz="2" w:space="0" w:color="555655"/>
            </w:tcBorders>
          </w:tcPr>
          <w:p w14:paraId="7916A6F8" w14:textId="77777777" w:rsidR="00A8121E" w:rsidRPr="006A16DC" w:rsidRDefault="00A8121E" w:rsidP="00A8121E">
            <w:pPr>
              <w:spacing w:line="259" w:lineRule="auto"/>
              <w:ind w:right="4322"/>
              <w:jc w:val="both"/>
              <w:rPr>
                <w:rFonts w:eastAsia="Calibri" w:cs="Calibri"/>
                <w:b/>
                <w:color w:val="555655"/>
                <w:sz w:val="16"/>
                <w:szCs w:val="16"/>
              </w:rPr>
            </w:pPr>
            <w:r w:rsidRPr="006A16DC">
              <w:rPr>
                <w:rFonts w:eastAsia="Calibri" w:cs="Calibri"/>
                <w:b/>
                <w:color w:val="555655"/>
                <w:sz w:val="16"/>
                <w:szCs w:val="16"/>
              </w:rPr>
              <w:t xml:space="preserve">Documents à fournir </w:t>
            </w:r>
            <w:r w:rsidRPr="004B40F7">
              <w:rPr>
                <w:rFonts w:eastAsia="Calibri" w:cs="Calibri"/>
                <w:bCs/>
                <w:color w:val="555655"/>
                <w:sz w:val="16"/>
                <w:szCs w:val="16"/>
              </w:rPr>
              <w:t>Acquis de formation.</w:t>
            </w:r>
          </w:p>
        </w:tc>
      </w:tr>
      <w:tr w:rsidR="00A8121E" w:rsidRPr="006A16DC" w14:paraId="5AB79C64" w14:textId="77777777" w:rsidTr="008E2D7E">
        <w:trPr>
          <w:trHeight w:val="1529"/>
        </w:trPr>
        <w:tc>
          <w:tcPr>
            <w:tcW w:w="0" w:type="auto"/>
            <w:vMerge/>
            <w:tcBorders>
              <w:top w:val="nil"/>
              <w:left w:val="single" w:sz="2" w:space="0" w:color="555655"/>
              <w:bottom w:val="single" w:sz="2" w:space="0" w:color="555655"/>
              <w:right w:val="single" w:sz="2" w:space="0" w:color="555655"/>
            </w:tcBorders>
          </w:tcPr>
          <w:p w14:paraId="143449BD" w14:textId="77777777" w:rsidR="00A8121E" w:rsidRPr="006A16DC" w:rsidRDefault="00A8121E" w:rsidP="00A8121E">
            <w:pPr>
              <w:spacing w:line="259" w:lineRule="auto"/>
              <w:rPr>
                <w:rFonts w:eastAsia="Calibri" w:cs="Calibri"/>
                <w:b/>
                <w:color w:val="555655"/>
                <w:sz w:val="16"/>
                <w:szCs w:val="16"/>
              </w:rPr>
            </w:pPr>
          </w:p>
        </w:tc>
        <w:tc>
          <w:tcPr>
            <w:tcW w:w="6256" w:type="dxa"/>
            <w:tcBorders>
              <w:top w:val="single" w:sz="2" w:space="0" w:color="555655"/>
              <w:left w:val="single" w:sz="2" w:space="0" w:color="555655"/>
              <w:bottom w:val="single" w:sz="2" w:space="0" w:color="555655"/>
              <w:right w:val="single" w:sz="2" w:space="0" w:color="555655"/>
            </w:tcBorders>
          </w:tcPr>
          <w:p w14:paraId="34FD916E" w14:textId="77777777" w:rsidR="00A8121E" w:rsidRPr="006A16DC" w:rsidRDefault="00A8121E" w:rsidP="00A8121E">
            <w:pPr>
              <w:spacing w:after="49" w:line="259" w:lineRule="auto"/>
              <w:rPr>
                <w:rFonts w:eastAsia="Calibri" w:cs="Calibri"/>
                <w:b/>
                <w:color w:val="555655"/>
                <w:sz w:val="16"/>
                <w:szCs w:val="16"/>
              </w:rPr>
            </w:pPr>
            <w:r w:rsidRPr="006A16DC">
              <w:rPr>
                <w:rFonts w:eastAsia="Calibri" w:cs="Calibri"/>
                <w:b/>
                <w:color w:val="555655"/>
                <w:sz w:val="16"/>
                <w:szCs w:val="16"/>
              </w:rPr>
              <w:t>Questions à se poser</w:t>
            </w:r>
          </w:p>
          <w:p w14:paraId="7EC10485" w14:textId="77777777" w:rsidR="00A8121E" w:rsidRPr="004B40F7" w:rsidRDefault="00A8121E" w:rsidP="00A8121E">
            <w:pPr>
              <w:spacing w:after="57" w:line="249" w:lineRule="auto"/>
              <w:rPr>
                <w:rFonts w:eastAsia="Calibri" w:cs="Calibri"/>
                <w:bCs/>
                <w:color w:val="555655"/>
                <w:sz w:val="16"/>
                <w:szCs w:val="16"/>
              </w:rPr>
            </w:pPr>
            <w:r w:rsidRPr="004B40F7">
              <w:rPr>
                <w:rFonts w:eastAsia="Calibri" w:cs="Calibri"/>
                <w:bCs/>
                <w:color w:val="555655"/>
                <w:sz w:val="16"/>
                <w:szCs w:val="16"/>
              </w:rPr>
              <w:t>Les acquis de formation ont-ils été définis en termes de ce que les étudiants sont supposés savoir, comprendre et/ou être capable de démontrer au terme du processus d’apprentissage ?</w:t>
            </w:r>
          </w:p>
          <w:p w14:paraId="4DD7612B" w14:textId="77777777" w:rsidR="00A8121E" w:rsidRPr="006A16DC" w:rsidRDefault="00A8121E" w:rsidP="00A8121E">
            <w:pPr>
              <w:spacing w:line="259" w:lineRule="auto"/>
              <w:rPr>
                <w:rFonts w:eastAsia="Calibri" w:cs="Calibri"/>
                <w:b/>
                <w:color w:val="555655"/>
                <w:sz w:val="16"/>
                <w:szCs w:val="16"/>
              </w:rPr>
            </w:pPr>
            <w:r w:rsidRPr="004B40F7">
              <w:rPr>
                <w:rFonts w:eastAsia="Calibri" w:cs="Calibri"/>
                <w:bCs/>
                <w:color w:val="555655"/>
                <w:sz w:val="16"/>
                <w:szCs w:val="16"/>
              </w:rPr>
              <w:t>Les acquis de formation sont-ils cohérents avec le cadre de qualifications national concerné, le cas échéant, avec les acquis de formation d’EURACE® pour l’accréditation, et avec les objectifs de la formation déjà définis ?</w:t>
            </w:r>
          </w:p>
        </w:tc>
      </w:tr>
    </w:tbl>
    <w:p w14:paraId="6BF8F900" w14:textId="77777777" w:rsidR="0096682A" w:rsidRDefault="0096682A">
      <w:r>
        <w:br w:type="page"/>
      </w:r>
    </w:p>
    <w:p w14:paraId="032195DA" w14:textId="77777777" w:rsidR="004B40F7" w:rsidRDefault="004B40F7"/>
    <w:tbl>
      <w:tblPr>
        <w:tblStyle w:val="TableGrid"/>
        <w:tblW w:w="9065" w:type="dxa"/>
        <w:tblInd w:w="423" w:type="dxa"/>
        <w:tblCellMar>
          <w:top w:w="60" w:type="dxa"/>
          <w:left w:w="80" w:type="dxa"/>
          <w:right w:w="44" w:type="dxa"/>
        </w:tblCellMar>
        <w:tblLook w:val="04A0" w:firstRow="1" w:lastRow="0" w:firstColumn="1" w:lastColumn="0" w:noHBand="0" w:noVBand="1"/>
      </w:tblPr>
      <w:tblGrid>
        <w:gridCol w:w="2809"/>
        <w:gridCol w:w="11"/>
        <w:gridCol w:w="6245"/>
      </w:tblGrid>
      <w:tr w:rsidR="004B40F7" w:rsidRPr="004B40F7" w14:paraId="75D9946B" w14:textId="77777777" w:rsidTr="008E2D7E">
        <w:trPr>
          <w:trHeight w:val="275"/>
        </w:trPr>
        <w:tc>
          <w:tcPr>
            <w:tcW w:w="2809" w:type="dxa"/>
            <w:tcBorders>
              <w:top w:val="single" w:sz="2" w:space="0" w:color="555655"/>
              <w:left w:val="single" w:sz="2" w:space="0" w:color="555655"/>
              <w:bottom w:val="single" w:sz="2" w:space="0" w:color="555655"/>
              <w:right w:val="nil"/>
            </w:tcBorders>
            <w:shd w:val="clear" w:color="auto" w:fill="FFEEDD"/>
          </w:tcPr>
          <w:p w14:paraId="1ED5672E" w14:textId="77777777" w:rsidR="004B40F7" w:rsidRPr="004B40F7" w:rsidRDefault="004B40F7" w:rsidP="004B40F7">
            <w:pPr>
              <w:spacing w:line="259" w:lineRule="auto"/>
              <w:rPr>
                <w:rFonts w:ascii="Calibri" w:eastAsia="Calibri" w:hAnsi="Calibri" w:cs="Calibri"/>
                <w:b/>
                <w:color w:val="555655"/>
                <w:sz w:val="21"/>
              </w:rPr>
            </w:pPr>
          </w:p>
        </w:tc>
        <w:tc>
          <w:tcPr>
            <w:tcW w:w="6256" w:type="dxa"/>
            <w:gridSpan w:val="2"/>
            <w:tcBorders>
              <w:top w:val="single" w:sz="2" w:space="0" w:color="555655"/>
              <w:left w:val="nil"/>
              <w:bottom w:val="single" w:sz="2" w:space="0" w:color="555655"/>
              <w:right w:val="single" w:sz="2" w:space="0" w:color="555655"/>
            </w:tcBorders>
            <w:shd w:val="clear" w:color="auto" w:fill="FFEEDD"/>
          </w:tcPr>
          <w:p w14:paraId="7BE4067B" w14:textId="77777777" w:rsidR="004B40F7" w:rsidRPr="004B40F7" w:rsidRDefault="004B40F7" w:rsidP="004B40F7">
            <w:pPr>
              <w:spacing w:line="259" w:lineRule="auto"/>
              <w:ind w:left="26"/>
              <w:rPr>
                <w:rFonts w:ascii="Calibri" w:eastAsia="Calibri" w:hAnsi="Calibri" w:cs="Calibri"/>
                <w:b/>
                <w:color w:val="555655"/>
                <w:sz w:val="21"/>
              </w:rPr>
            </w:pPr>
            <w:r w:rsidRPr="004B40F7">
              <w:rPr>
                <w:rFonts w:ascii="Calibri" w:eastAsia="Calibri" w:hAnsi="Calibri" w:cs="Calibri"/>
                <w:b/>
                <w:color w:val="555655"/>
                <w:sz w:val="15"/>
              </w:rPr>
              <w:t>2. Processus d’enseignement et d’apprentissage</w:t>
            </w:r>
          </w:p>
        </w:tc>
      </w:tr>
      <w:tr w:rsidR="004B40F7" w:rsidRPr="004B40F7" w14:paraId="26BF619C" w14:textId="77777777" w:rsidTr="008E2D7E">
        <w:trPr>
          <w:trHeight w:val="1586"/>
        </w:trPr>
        <w:tc>
          <w:tcPr>
            <w:tcW w:w="2809" w:type="dxa"/>
            <w:vMerge w:val="restart"/>
            <w:tcBorders>
              <w:top w:val="single" w:sz="2" w:space="0" w:color="555655"/>
              <w:left w:val="single" w:sz="2" w:space="0" w:color="555655"/>
              <w:bottom w:val="single" w:sz="2" w:space="0" w:color="555655"/>
              <w:right w:val="single" w:sz="2" w:space="0" w:color="555655"/>
            </w:tcBorders>
            <w:vAlign w:val="center"/>
          </w:tcPr>
          <w:p w14:paraId="371FB0E7"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2.1 Processus d’enseignement et d’apprentissage</w:t>
            </w:r>
          </w:p>
        </w:tc>
        <w:tc>
          <w:tcPr>
            <w:tcW w:w="6256" w:type="dxa"/>
            <w:gridSpan w:val="2"/>
            <w:tcBorders>
              <w:top w:val="single" w:sz="2" w:space="0" w:color="555655"/>
              <w:left w:val="single" w:sz="2" w:space="0" w:color="555655"/>
              <w:bottom w:val="single" w:sz="2" w:space="0" w:color="555655"/>
              <w:right w:val="single" w:sz="2" w:space="0" w:color="555655"/>
            </w:tcBorders>
          </w:tcPr>
          <w:p w14:paraId="55D25446"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demandés / à rendre publics</w:t>
            </w:r>
          </w:p>
          <w:p w14:paraId="00F7F0C7" w14:textId="77777777" w:rsidR="004B40F7" w:rsidRPr="008E1789" w:rsidRDefault="004B40F7" w:rsidP="004B40F7">
            <w:pPr>
              <w:spacing w:after="49" w:line="259" w:lineRule="auto"/>
              <w:rPr>
                <w:rFonts w:ascii="Calibri" w:eastAsia="Calibri" w:hAnsi="Calibri" w:cs="Calibri"/>
                <w:bCs/>
                <w:color w:val="555655"/>
                <w:sz w:val="21"/>
              </w:rPr>
            </w:pPr>
            <w:r w:rsidRPr="008E1789">
              <w:rPr>
                <w:rFonts w:ascii="Calibri" w:eastAsia="Calibri" w:hAnsi="Calibri" w:cs="Calibri"/>
                <w:bCs/>
                <w:color w:val="555655"/>
                <w:sz w:val="15"/>
              </w:rPr>
              <w:t>Programme d’enseignement et description de ses caractéristiques.</w:t>
            </w:r>
          </w:p>
          <w:p w14:paraId="42DCB29F" w14:textId="77777777" w:rsidR="004B40F7" w:rsidRPr="008E1789" w:rsidRDefault="004B40F7" w:rsidP="004B40F7">
            <w:pPr>
              <w:spacing w:after="57" w:line="249" w:lineRule="auto"/>
              <w:ind w:right="168"/>
              <w:jc w:val="both"/>
              <w:rPr>
                <w:rFonts w:ascii="Calibri" w:eastAsia="Calibri" w:hAnsi="Calibri" w:cs="Calibri"/>
                <w:bCs/>
                <w:color w:val="555655"/>
                <w:sz w:val="21"/>
              </w:rPr>
            </w:pPr>
            <w:r w:rsidRPr="008E1789">
              <w:rPr>
                <w:rFonts w:ascii="Calibri" w:eastAsia="Calibri" w:hAnsi="Calibri" w:cs="Calibri"/>
                <w:bCs/>
                <w:color w:val="555655"/>
                <w:sz w:val="15"/>
              </w:rPr>
              <w:t>Caractéristiques des modules/cours (en particulier : nombre de crédits ECTS, acquis d’apprentissage, contenu, typologies d’activités d’enseignement, évaluation des acquis des étudiants, prérequis, matériel didactique).</w:t>
            </w:r>
          </w:p>
          <w:p w14:paraId="27BD5DAC" w14:textId="77777777" w:rsidR="004B40F7" w:rsidRPr="004B40F7" w:rsidRDefault="004B40F7" w:rsidP="004B40F7">
            <w:pPr>
              <w:spacing w:line="259" w:lineRule="auto"/>
              <w:rPr>
                <w:rFonts w:ascii="Calibri" w:eastAsia="Calibri" w:hAnsi="Calibri" w:cs="Calibri"/>
                <w:b/>
                <w:color w:val="555655"/>
                <w:sz w:val="21"/>
              </w:rPr>
            </w:pPr>
            <w:r w:rsidRPr="008E1789">
              <w:rPr>
                <w:rFonts w:ascii="Calibri" w:eastAsia="Calibri" w:hAnsi="Calibri" w:cs="Calibri"/>
                <w:bCs/>
                <w:color w:val="555655"/>
                <w:sz w:val="15"/>
              </w:rPr>
              <w:t>Documents justifiant l’adéquation du programme d’enseignement pour atteindre les acquis de formation.</w:t>
            </w:r>
          </w:p>
        </w:tc>
      </w:tr>
      <w:tr w:rsidR="004B40F7" w:rsidRPr="004B40F7" w14:paraId="562E7F7B" w14:textId="77777777" w:rsidTr="008E2D7E">
        <w:trPr>
          <w:trHeight w:val="1396"/>
        </w:trPr>
        <w:tc>
          <w:tcPr>
            <w:tcW w:w="0" w:type="auto"/>
            <w:vMerge/>
            <w:tcBorders>
              <w:top w:val="nil"/>
              <w:left w:val="single" w:sz="2" w:space="0" w:color="555655"/>
              <w:bottom w:val="single" w:sz="2" w:space="0" w:color="555655"/>
              <w:right w:val="single" w:sz="2" w:space="0" w:color="555655"/>
            </w:tcBorders>
          </w:tcPr>
          <w:p w14:paraId="17105426" w14:textId="77777777" w:rsidR="004B40F7" w:rsidRPr="004B40F7" w:rsidRDefault="004B40F7" w:rsidP="004B40F7">
            <w:pPr>
              <w:spacing w:line="259" w:lineRule="auto"/>
              <w:rPr>
                <w:rFonts w:ascii="Calibri" w:eastAsia="Calibri" w:hAnsi="Calibri" w:cs="Calibri"/>
                <w:b/>
                <w:color w:val="555655"/>
                <w:sz w:val="21"/>
              </w:rPr>
            </w:pPr>
          </w:p>
        </w:tc>
        <w:tc>
          <w:tcPr>
            <w:tcW w:w="6256" w:type="dxa"/>
            <w:gridSpan w:val="2"/>
            <w:tcBorders>
              <w:top w:val="single" w:sz="2" w:space="0" w:color="555655"/>
              <w:left w:val="single" w:sz="2" w:space="0" w:color="555655"/>
              <w:bottom w:val="single" w:sz="2" w:space="0" w:color="555655"/>
              <w:right w:val="single" w:sz="2" w:space="0" w:color="555655"/>
            </w:tcBorders>
          </w:tcPr>
          <w:p w14:paraId="6878EB4D"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01E7DD57" w14:textId="77777777" w:rsidR="004B40F7" w:rsidRPr="004879A4" w:rsidRDefault="004B40F7" w:rsidP="004B40F7">
            <w:pPr>
              <w:spacing w:line="323" w:lineRule="auto"/>
              <w:ind w:right="69"/>
              <w:rPr>
                <w:rFonts w:ascii="Calibri" w:eastAsia="Calibri" w:hAnsi="Calibri" w:cs="Calibri"/>
                <w:bCs/>
                <w:color w:val="555655"/>
                <w:sz w:val="21"/>
              </w:rPr>
            </w:pPr>
            <w:r w:rsidRPr="004879A4">
              <w:rPr>
                <w:rFonts w:ascii="Calibri" w:eastAsia="Calibri" w:hAnsi="Calibri" w:cs="Calibri"/>
                <w:bCs/>
                <w:color w:val="555655"/>
                <w:sz w:val="15"/>
              </w:rPr>
              <w:t>Le cumul des acquis d’apprentissage des modules correspond-il aux acquis de formation ? Le programme d’enseignement a-t-il été approuvé par l’EES proposant la formation ?</w:t>
            </w:r>
          </w:p>
          <w:p w14:paraId="37230974" w14:textId="77777777" w:rsidR="004B40F7" w:rsidRPr="004B40F7" w:rsidRDefault="004B40F7" w:rsidP="004B40F7">
            <w:pPr>
              <w:spacing w:line="259" w:lineRule="auto"/>
              <w:rPr>
                <w:rFonts w:ascii="Calibri" w:eastAsia="Calibri" w:hAnsi="Calibri" w:cs="Calibri"/>
                <w:b/>
                <w:color w:val="555655"/>
                <w:sz w:val="21"/>
              </w:rPr>
            </w:pPr>
            <w:r w:rsidRPr="004879A4">
              <w:rPr>
                <w:rFonts w:ascii="Calibri" w:eastAsia="Calibri" w:hAnsi="Calibri" w:cs="Calibri"/>
                <w:bCs/>
                <w:color w:val="555655"/>
                <w:sz w:val="15"/>
              </w:rPr>
              <w:t>Le programme d’enseignement inclut-il une approche d’enseignement et d’apprentissage centrée sur l’étudiant, qui offre des parcours d’apprentissage flexibles et encourage les étudiants à contribuer activement au processus d’apprentissage ?</w:t>
            </w:r>
          </w:p>
        </w:tc>
      </w:tr>
      <w:tr w:rsidR="004B40F7" w:rsidRPr="004B40F7" w14:paraId="4703F37C" w14:textId="77777777" w:rsidTr="008E2D7E">
        <w:trPr>
          <w:trHeight w:val="712"/>
        </w:trPr>
        <w:tc>
          <w:tcPr>
            <w:tcW w:w="2809" w:type="dxa"/>
            <w:vMerge w:val="restart"/>
            <w:tcBorders>
              <w:top w:val="single" w:sz="2" w:space="0" w:color="555655"/>
              <w:left w:val="single" w:sz="2" w:space="0" w:color="555655"/>
              <w:bottom w:val="single" w:sz="2" w:space="0" w:color="555655"/>
              <w:right w:val="single" w:sz="2" w:space="0" w:color="555655"/>
            </w:tcBorders>
            <w:vAlign w:val="center"/>
          </w:tcPr>
          <w:p w14:paraId="50DD8872"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2.2 Évaluation de l’apprentissage des étudiants</w:t>
            </w:r>
          </w:p>
        </w:tc>
        <w:tc>
          <w:tcPr>
            <w:tcW w:w="6256" w:type="dxa"/>
            <w:gridSpan w:val="2"/>
            <w:tcBorders>
              <w:top w:val="single" w:sz="2" w:space="0" w:color="555655"/>
              <w:left w:val="single" w:sz="2" w:space="0" w:color="555655"/>
              <w:bottom w:val="single" w:sz="2" w:space="0" w:color="555655"/>
              <w:right w:val="single" w:sz="2" w:space="0" w:color="555655"/>
            </w:tcBorders>
          </w:tcPr>
          <w:p w14:paraId="5DC8536E"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693590E1" w14:textId="657584D2" w:rsidR="004B40F7" w:rsidRPr="004879A4" w:rsidRDefault="004B40F7" w:rsidP="004B40F7">
            <w:pPr>
              <w:spacing w:line="259" w:lineRule="auto"/>
              <w:rPr>
                <w:rFonts w:ascii="Calibri" w:eastAsia="Calibri" w:hAnsi="Calibri" w:cs="Calibri"/>
                <w:bCs/>
                <w:color w:val="555655"/>
                <w:sz w:val="21"/>
              </w:rPr>
            </w:pPr>
            <w:r w:rsidRPr="004879A4">
              <w:rPr>
                <w:rFonts w:ascii="Calibri" w:eastAsia="Calibri" w:hAnsi="Calibri" w:cs="Calibri"/>
                <w:bCs/>
                <w:color w:val="555655"/>
                <w:sz w:val="15"/>
              </w:rPr>
              <w:t>Remarque : Les méthodes et critères d’évaluation de l’apprentissage des étudiants devraient être inclus dans les caractéristiques des cours/modules.</w:t>
            </w:r>
          </w:p>
        </w:tc>
      </w:tr>
      <w:tr w:rsidR="004B40F7" w:rsidRPr="004B40F7" w14:paraId="36EB15B7" w14:textId="77777777" w:rsidTr="008E2D7E">
        <w:trPr>
          <w:trHeight w:val="1092"/>
        </w:trPr>
        <w:tc>
          <w:tcPr>
            <w:tcW w:w="0" w:type="auto"/>
            <w:vMerge/>
            <w:tcBorders>
              <w:top w:val="nil"/>
              <w:left w:val="single" w:sz="2" w:space="0" w:color="555655"/>
              <w:bottom w:val="single" w:sz="2" w:space="0" w:color="555655"/>
              <w:right w:val="single" w:sz="2" w:space="0" w:color="555655"/>
            </w:tcBorders>
          </w:tcPr>
          <w:p w14:paraId="7DA0BD86" w14:textId="77777777" w:rsidR="004B40F7" w:rsidRPr="004B40F7" w:rsidRDefault="004B40F7" w:rsidP="004B40F7">
            <w:pPr>
              <w:spacing w:line="259" w:lineRule="auto"/>
              <w:rPr>
                <w:rFonts w:ascii="Calibri" w:eastAsia="Calibri" w:hAnsi="Calibri" w:cs="Calibri"/>
                <w:b/>
                <w:color w:val="555655"/>
                <w:sz w:val="21"/>
              </w:rPr>
            </w:pPr>
          </w:p>
        </w:tc>
        <w:tc>
          <w:tcPr>
            <w:tcW w:w="6256" w:type="dxa"/>
            <w:gridSpan w:val="2"/>
            <w:tcBorders>
              <w:top w:val="single" w:sz="2" w:space="0" w:color="555655"/>
              <w:left w:val="single" w:sz="2" w:space="0" w:color="555655"/>
              <w:bottom w:val="single" w:sz="2" w:space="0" w:color="555655"/>
              <w:right w:val="single" w:sz="2" w:space="0" w:color="555655"/>
            </w:tcBorders>
          </w:tcPr>
          <w:p w14:paraId="1A93C9F3"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32B723F4" w14:textId="77777777" w:rsidR="004B40F7" w:rsidRPr="00CA70AE" w:rsidRDefault="004B40F7" w:rsidP="004B40F7">
            <w:pPr>
              <w:spacing w:line="259" w:lineRule="auto"/>
              <w:rPr>
                <w:rFonts w:ascii="Calibri" w:eastAsia="Calibri" w:hAnsi="Calibri" w:cs="Calibri"/>
                <w:bCs/>
                <w:color w:val="555655"/>
                <w:sz w:val="21"/>
              </w:rPr>
            </w:pPr>
            <w:r w:rsidRPr="00CA70AE">
              <w:rPr>
                <w:rFonts w:ascii="Calibri" w:eastAsia="Calibri" w:hAnsi="Calibri" w:cs="Calibri"/>
                <w:bCs/>
                <w:color w:val="555655"/>
                <w:sz w:val="15"/>
              </w:rPr>
              <w:t>Les méthodes et critères d’évaluation fournissent-ils la preuve de leur aptitude à vérifier l’atteinte effective par les étudiants des acquis d’apprentissage du cours/module en question, et garantissent-ils que le niveau d’acquisition par les étudiants est évalué de manière crédible ?</w:t>
            </w:r>
          </w:p>
        </w:tc>
      </w:tr>
      <w:tr w:rsidR="004B40F7" w:rsidRPr="004B40F7" w14:paraId="77833FB6" w14:textId="77777777" w:rsidTr="008E2D7E">
        <w:tblPrEx>
          <w:tblCellMar>
            <w:right w:w="67" w:type="dxa"/>
          </w:tblCellMar>
        </w:tblPrEx>
        <w:trPr>
          <w:trHeight w:val="522"/>
        </w:trPr>
        <w:tc>
          <w:tcPr>
            <w:tcW w:w="2820" w:type="dxa"/>
            <w:gridSpan w:val="2"/>
            <w:vMerge w:val="restart"/>
            <w:tcBorders>
              <w:top w:val="single" w:sz="2" w:space="0" w:color="555655"/>
              <w:left w:val="single" w:sz="2" w:space="0" w:color="555655"/>
              <w:bottom w:val="single" w:sz="2" w:space="0" w:color="555655"/>
              <w:right w:val="single" w:sz="2" w:space="0" w:color="555655"/>
            </w:tcBorders>
            <w:vAlign w:val="center"/>
          </w:tcPr>
          <w:p w14:paraId="4CBFB49D"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2.3 Planification du processus d’apprentissage</w:t>
            </w:r>
          </w:p>
        </w:tc>
        <w:tc>
          <w:tcPr>
            <w:tcW w:w="6245" w:type="dxa"/>
            <w:tcBorders>
              <w:top w:val="single" w:sz="2" w:space="0" w:color="555655"/>
              <w:left w:val="single" w:sz="2" w:space="0" w:color="555655"/>
              <w:bottom w:val="single" w:sz="2" w:space="0" w:color="555655"/>
              <w:right w:val="single" w:sz="2" w:space="0" w:color="555655"/>
            </w:tcBorders>
          </w:tcPr>
          <w:p w14:paraId="7180CB2A"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74FF0C2E" w14:textId="77777777" w:rsidR="004B40F7" w:rsidRPr="00CA70AE" w:rsidRDefault="004B40F7" w:rsidP="004B40F7">
            <w:pPr>
              <w:spacing w:line="259" w:lineRule="auto"/>
              <w:rPr>
                <w:rFonts w:ascii="Calibri" w:eastAsia="Calibri" w:hAnsi="Calibri" w:cs="Calibri"/>
                <w:bCs/>
                <w:color w:val="555655"/>
                <w:sz w:val="21"/>
              </w:rPr>
            </w:pPr>
            <w:r w:rsidRPr="00CA70AE">
              <w:rPr>
                <w:rFonts w:ascii="Calibri" w:eastAsia="Calibri" w:hAnsi="Calibri" w:cs="Calibri"/>
                <w:bCs/>
                <w:color w:val="555655"/>
                <w:sz w:val="15"/>
              </w:rPr>
              <w:t>Planning des activités didactiques et calendrier des examens.</w:t>
            </w:r>
          </w:p>
        </w:tc>
      </w:tr>
      <w:tr w:rsidR="004B40F7" w:rsidRPr="004B40F7" w14:paraId="0B5FC36E" w14:textId="77777777" w:rsidTr="008E2D7E">
        <w:tblPrEx>
          <w:tblCellMar>
            <w:right w:w="67" w:type="dxa"/>
          </w:tblCellMar>
        </w:tblPrEx>
        <w:trPr>
          <w:trHeight w:val="712"/>
        </w:trPr>
        <w:tc>
          <w:tcPr>
            <w:tcW w:w="0" w:type="auto"/>
            <w:gridSpan w:val="2"/>
            <w:vMerge/>
            <w:tcBorders>
              <w:top w:val="nil"/>
              <w:left w:val="single" w:sz="2" w:space="0" w:color="555655"/>
              <w:bottom w:val="single" w:sz="2" w:space="0" w:color="555655"/>
              <w:right w:val="single" w:sz="2" w:space="0" w:color="555655"/>
            </w:tcBorders>
          </w:tcPr>
          <w:p w14:paraId="013024D4"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2F01884C"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68D696B0" w14:textId="77777777" w:rsidR="004B40F7" w:rsidRPr="00CA70AE" w:rsidRDefault="004B40F7" w:rsidP="004B40F7">
            <w:pPr>
              <w:spacing w:line="259" w:lineRule="auto"/>
              <w:rPr>
                <w:rFonts w:ascii="Calibri" w:eastAsia="Calibri" w:hAnsi="Calibri" w:cs="Calibri"/>
                <w:bCs/>
                <w:color w:val="555655"/>
                <w:sz w:val="21"/>
              </w:rPr>
            </w:pPr>
            <w:r w:rsidRPr="00CA70AE">
              <w:rPr>
                <w:rFonts w:ascii="Calibri" w:eastAsia="Calibri" w:hAnsi="Calibri" w:cs="Calibri"/>
                <w:bCs/>
                <w:color w:val="555655"/>
                <w:sz w:val="15"/>
              </w:rPr>
              <w:t>Le processus d’apprentissage a-t-il été planifié de manière à permettre aux étudiants d’atteindre les acquis de formation dans le temps imparti ?</w:t>
            </w:r>
          </w:p>
        </w:tc>
      </w:tr>
      <w:tr w:rsidR="004B40F7" w:rsidRPr="004B40F7" w14:paraId="39264317" w14:textId="77777777" w:rsidTr="008E2D7E">
        <w:tblPrEx>
          <w:tblCellMar>
            <w:right w:w="67" w:type="dxa"/>
          </w:tblCellMar>
        </w:tblPrEx>
        <w:trPr>
          <w:trHeight w:val="902"/>
        </w:trPr>
        <w:tc>
          <w:tcPr>
            <w:tcW w:w="2820" w:type="dxa"/>
            <w:gridSpan w:val="2"/>
            <w:vMerge w:val="restart"/>
            <w:tcBorders>
              <w:top w:val="single" w:sz="2" w:space="0" w:color="555655"/>
              <w:left w:val="single" w:sz="2" w:space="0" w:color="555655"/>
              <w:bottom w:val="single" w:sz="2" w:space="0" w:color="555655"/>
              <w:right w:val="single" w:sz="2" w:space="0" w:color="555655"/>
            </w:tcBorders>
            <w:vAlign w:val="center"/>
          </w:tcPr>
          <w:p w14:paraId="73D91AE4"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2.4 Gestion du processus d’apprentissage</w:t>
            </w:r>
          </w:p>
        </w:tc>
        <w:tc>
          <w:tcPr>
            <w:tcW w:w="6245" w:type="dxa"/>
            <w:tcBorders>
              <w:top w:val="single" w:sz="2" w:space="0" w:color="555655"/>
              <w:left w:val="single" w:sz="2" w:space="0" w:color="555655"/>
              <w:bottom w:val="single" w:sz="2" w:space="0" w:color="555655"/>
              <w:right w:val="single" w:sz="2" w:space="0" w:color="555655"/>
            </w:tcBorders>
          </w:tcPr>
          <w:p w14:paraId="6AE9850D"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1BA2370A"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Description de la gestion des processus d’enseignement et d’apprentissage et de l’évaluation des étudiants, intégrant les retours des étudiants sur leur qualité. Cette description devrait inclure une analyse statistique et préciser les documents utilisés.</w:t>
            </w:r>
          </w:p>
        </w:tc>
      </w:tr>
      <w:tr w:rsidR="004B40F7" w:rsidRPr="004B40F7" w14:paraId="2942743B" w14:textId="77777777" w:rsidTr="008E2D7E">
        <w:tblPrEx>
          <w:tblCellMar>
            <w:right w:w="67" w:type="dxa"/>
          </w:tblCellMar>
        </w:tblPrEx>
        <w:trPr>
          <w:trHeight w:val="1586"/>
        </w:trPr>
        <w:tc>
          <w:tcPr>
            <w:tcW w:w="0" w:type="auto"/>
            <w:gridSpan w:val="2"/>
            <w:vMerge/>
            <w:tcBorders>
              <w:top w:val="nil"/>
              <w:left w:val="single" w:sz="2" w:space="0" w:color="555655"/>
              <w:bottom w:val="single" w:sz="2" w:space="0" w:color="555655"/>
              <w:right w:val="single" w:sz="2" w:space="0" w:color="555655"/>
            </w:tcBorders>
          </w:tcPr>
          <w:p w14:paraId="0BE895A3"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74C13E3E"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347DBAEC" w14:textId="77777777" w:rsidR="004B40F7" w:rsidRPr="004B40F7" w:rsidRDefault="004B40F7" w:rsidP="004B40F7">
            <w:pPr>
              <w:spacing w:after="57" w:line="249" w:lineRule="auto"/>
              <w:rPr>
                <w:rFonts w:ascii="Calibri" w:eastAsia="Calibri" w:hAnsi="Calibri" w:cs="Calibri"/>
                <w:b/>
                <w:color w:val="555655"/>
                <w:sz w:val="21"/>
              </w:rPr>
            </w:pPr>
            <w:r w:rsidRPr="004B40F7">
              <w:rPr>
                <w:rFonts w:ascii="Calibri" w:eastAsia="Calibri" w:hAnsi="Calibri" w:cs="Calibri"/>
                <w:b/>
                <w:color w:val="555655"/>
                <w:sz w:val="15"/>
              </w:rPr>
              <w:t>De quelle manière la gestion du processus d’apprentissage garantit-elle l’atteinte des objectifs et acquis de formation ?</w:t>
            </w:r>
          </w:p>
          <w:p w14:paraId="5678C6E0" w14:textId="77777777" w:rsidR="004B40F7" w:rsidRPr="004B40F7" w:rsidRDefault="004B40F7" w:rsidP="004B40F7">
            <w:pPr>
              <w:spacing w:after="57" w:line="249" w:lineRule="auto"/>
              <w:rPr>
                <w:rFonts w:ascii="Calibri" w:eastAsia="Calibri" w:hAnsi="Calibri" w:cs="Calibri"/>
                <w:b/>
                <w:color w:val="555655"/>
                <w:sz w:val="21"/>
              </w:rPr>
            </w:pPr>
            <w:r w:rsidRPr="004B40F7">
              <w:rPr>
                <w:rFonts w:ascii="Calibri" w:eastAsia="Calibri" w:hAnsi="Calibri" w:cs="Calibri"/>
                <w:b/>
                <w:color w:val="555655"/>
                <w:sz w:val="15"/>
              </w:rPr>
              <w:t>Les résultats du contrôle qualité des tests d’évaluation confirment-ils leur adéquation et leur pertinence ?</w:t>
            </w:r>
          </w:p>
          <w:p w14:paraId="727262BA" w14:textId="77777777" w:rsidR="004B40F7" w:rsidRPr="004B40F7" w:rsidRDefault="004B40F7" w:rsidP="004B40F7">
            <w:pPr>
              <w:spacing w:line="259" w:lineRule="auto"/>
              <w:jc w:val="both"/>
              <w:rPr>
                <w:rFonts w:ascii="Calibri" w:eastAsia="Calibri" w:hAnsi="Calibri" w:cs="Calibri"/>
                <w:b/>
                <w:color w:val="555655"/>
                <w:sz w:val="21"/>
              </w:rPr>
            </w:pPr>
            <w:r w:rsidRPr="004B40F7">
              <w:rPr>
                <w:rFonts w:ascii="Calibri" w:eastAsia="Calibri" w:hAnsi="Calibri" w:cs="Calibri"/>
                <w:b/>
                <w:color w:val="555655"/>
                <w:sz w:val="15"/>
              </w:rPr>
              <w:t>L’atteinte des acquis d’apprentissage des cours/modules est-elle évaluée de manière adéquate ?</w:t>
            </w:r>
          </w:p>
        </w:tc>
      </w:tr>
      <w:tr w:rsidR="004B40F7" w:rsidRPr="004B40F7" w14:paraId="3405875B" w14:textId="77777777" w:rsidTr="008E2D7E">
        <w:tblPrEx>
          <w:tblCellMar>
            <w:right w:w="67" w:type="dxa"/>
          </w:tblCellMar>
        </w:tblPrEx>
        <w:trPr>
          <w:trHeight w:val="275"/>
        </w:trPr>
        <w:tc>
          <w:tcPr>
            <w:tcW w:w="2820" w:type="dxa"/>
            <w:gridSpan w:val="2"/>
            <w:tcBorders>
              <w:top w:val="single" w:sz="2" w:space="0" w:color="555655"/>
              <w:left w:val="single" w:sz="2" w:space="0" w:color="555655"/>
              <w:bottom w:val="single" w:sz="2" w:space="0" w:color="555655"/>
              <w:right w:val="nil"/>
            </w:tcBorders>
            <w:shd w:val="clear" w:color="auto" w:fill="FFEEDD"/>
          </w:tcPr>
          <w:p w14:paraId="7571BC3E"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nil"/>
              <w:bottom w:val="single" w:sz="2" w:space="0" w:color="555655"/>
              <w:right w:val="single" w:sz="2" w:space="0" w:color="555655"/>
            </w:tcBorders>
            <w:shd w:val="clear" w:color="auto" w:fill="FFEEDD"/>
          </w:tcPr>
          <w:p w14:paraId="274F9B4C" w14:textId="77777777" w:rsidR="004B40F7" w:rsidRPr="004B40F7" w:rsidRDefault="004B40F7" w:rsidP="004B40F7">
            <w:pPr>
              <w:spacing w:line="259" w:lineRule="auto"/>
              <w:ind w:left="1180"/>
              <w:rPr>
                <w:rFonts w:ascii="Calibri" w:eastAsia="Calibri" w:hAnsi="Calibri" w:cs="Calibri"/>
                <w:b/>
                <w:color w:val="555655"/>
                <w:sz w:val="21"/>
              </w:rPr>
            </w:pPr>
            <w:r w:rsidRPr="004B40F7">
              <w:rPr>
                <w:rFonts w:ascii="Calibri" w:eastAsia="Calibri" w:hAnsi="Calibri" w:cs="Calibri"/>
                <w:b/>
                <w:color w:val="555655"/>
                <w:sz w:val="15"/>
              </w:rPr>
              <w:t>3. Ressources</w:t>
            </w:r>
          </w:p>
        </w:tc>
      </w:tr>
      <w:tr w:rsidR="004B40F7" w:rsidRPr="004B40F7" w14:paraId="7758AAF5" w14:textId="77777777" w:rsidTr="008E2D7E">
        <w:tblPrEx>
          <w:tblCellMar>
            <w:right w:w="67" w:type="dxa"/>
          </w:tblCellMar>
        </w:tblPrEx>
        <w:trPr>
          <w:trHeight w:val="1452"/>
        </w:trPr>
        <w:tc>
          <w:tcPr>
            <w:tcW w:w="2820" w:type="dxa"/>
            <w:gridSpan w:val="2"/>
            <w:vMerge w:val="restart"/>
            <w:tcBorders>
              <w:top w:val="single" w:sz="2" w:space="0" w:color="555655"/>
              <w:left w:val="single" w:sz="2" w:space="0" w:color="555655"/>
              <w:bottom w:val="single" w:sz="2" w:space="0" w:color="555655"/>
              <w:right w:val="single" w:sz="2" w:space="0" w:color="555655"/>
            </w:tcBorders>
            <w:vAlign w:val="center"/>
          </w:tcPr>
          <w:p w14:paraId="5326723E"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3.1 Personnel enseignant</w:t>
            </w:r>
          </w:p>
        </w:tc>
        <w:tc>
          <w:tcPr>
            <w:tcW w:w="6245" w:type="dxa"/>
            <w:tcBorders>
              <w:top w:val="single" w:sz="2" w:space="0" w:color="555655"/>
              <w:left w:val="single" w:sz="2" w:space="0" w:color="555655"/>
              <w:bottom w:val="single" w:sz="2" w:space="0" w:color="555655"/>
              <w:right w:val="single" w:sz="2" w:space="0" w:color="555655"/>
            </w:tcBorders>
          </w:tcPr>
          <w:p w14:paraId="04F9999B"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7686840E" w14:textId="77777777" w:rsidR="004B40F7" w:rsidRPr="009E09FA" w:rsidRDefault="004B40F7" w:rsidP="004B40F7">
            <w:pPr>
              <w:spacing w:after="49" w:line="259" w:lineRule="auto"/>
              <w:rPr>
                <w:rFonts w:ascii="Calibri" w:eastAsia="Calibri" w:hAnsi="Calibri" w:cs="Calibri"/>
                <w:bCs/>
                <w:color w:val="555655"/>
                <w:sz w:val="21"/>
              </w:rPr>
            </w:pPr>
            <w:r w:rsidRPr="009E09FA">
              <w:rPr>
                <w:rFonts w:ascii="Calibri" w:eastAsia="Calibri" w:hAnsi="Calibri" w:cs="Calibri"/>
                <w:bCs/>
                <w:color w:val="555655"/>
                <w:sz w:val="15"/>
              </w:rPr>
              <w:t>Curriculum vitæ des enseignants.</w:t>
            </w:r>
          </w:p>
          <w:p w14:paraId="2185087F" w14:textId="77777777" w:rsidR="004B40F7" w:rsidRPr="009E09FA" w:rsidRDefault="004B40F7" w:rsidP="004B40F7">
            <w:pPr>
              <w:spacing w:after="49" w:line="259" w:lineRule="auto"/>
              <w:rPr>
                <w:rFonts w:ascii="Calibri" w:eastAsia="Calibri" w:hAnsi="Calibri" w:cs="Calibri"/>
                <w:bCs/>
                <w:color w:val="555655"/>
                <w:sz w:val="21"/>
              </w:rPr>
            </w:pPr>
            <w:r w:rsidRPr="009E09FA">
              <w:rPr>
                <w:rFonts w:ascii="Calibri" w:eastAsia="Calibri" w:hAnsi="Calibri" w:cs="Calibri"/>
                <w:bCs/>
                <w:color w:val="555655"/>
                <w:sz w:val="15"/>
              </w:rPr>
              <w:t>Personnel de soutien à l’enseignement.</w:t>
            </w:r>
          </w:p>
          <w:p w14:paraId="07A3A9E9" w14:textId="77777777" w:rsidR="004B40F7" w:rsidRPr="009E09FA" w:rsidRDefault="004B40F7" w:rsidP="004B40F7">
            <w:pPr>
              <w:spacing w:after="49" w:line="259" w:lineRule="auto"/>
              <w:rPr>
                <w:rFonts w:ascii="Calibri" w:eastAsia="Calibri" w:hAnsi="Calibri" w:cs="Calibri"/>
                <w:bCs/>
                <w:color w:val="555655"/>
                <w:sz w:val="21"/>
              </w:rPr>
            </w:pPr>
            <w:r w:rsidRPr="009E09FA">
              <w:rPr>
                <w:rFonts w:ascii="Calibri" w:eastAsia="Calibri" w:hAnsi="Calibri" w:cs="Calibri"/>
                <w:bCs/>
                <w:color w:val="555655"/>
                <w:sz w:val="15"/>
              </w:rPr>
              <w:t>Politique de recrutement des enseignants.</w:t>
            </w:r>
          </w:p>
          <w:p w14:paraId="2CBA04D8" w14:textId="77777777" w:rsidR="004B40F7" w:rsidRPr="004B40F7" w:rsidRDefault="004B40F7" w:rsidP="004B40F7">
            <w:pPr>
              <w:spacing w:line="259" w:lineRule="auto"/>
              <w:rPr>
                <w:rFonts w:ascii="Calibri" w:eastAsia="Calibri" w:hAnsi="Calibri" w:cs="Calibri"/>
                <w:b/>
                <w:color w:val="555655"/>
                <w:sz w:val="21"/>
              </w:rPr>
            </w:pPr>
            <w:r w:rsidRPr="009E09FA">
              <w:rPr>
                <w:rFonts w:ascii="Calibri" w:eastAsia="Calibri" w:hAnsi="Calibri" w:cs="Calibri"/>
                <w:bCs/>
                <w:color w:val="555655"/>
                <w:sz w:val="15"/>
              </w:rPr>
              <w:t>Opportunités offertes aux enseignants pour développer leurs compétences en matière de pédagogie et d’utilisation des nouvelles technologies.</w:t>
            </w:r>
          </w:p>
        </w:tc>
      </w:tr>
      <w:tr w:rsidR="004B40F7" w:rsidRPr="004B40F7" w14:paraId="770EF228" w14:textId="77777777" w:rsidTr="008E2D7E">
        <w:tblPrEx>
          <w:tblCellMar>
            <w:right w:w="67" w:type="dxa"/>
          </w:tblCellMar>
        </w:tblPrEx>
        <w:trPr>
          <w:trHeight w:val="1832"/>
        </w:trPr>
        <w:tc>
          <w:tcPr>
            <w:tcW w:w="0" w:type="auto"/>
            <w:gridSpan w:val="2"/>
            <w:vMerge/>
            <w:tcBorders>
              <w:top w:val="nil"/>
              <w:left w:val="single" w:sz="2" w:space="0" w:color="555655"/>
              <w:bottom w:val="single" w:sz="2" w:space="0" w:color="555655"/>
              <w:right w:val="single" w:sz="2" w:space="0" w:color="555655"/>
            </w:tcBorders>
          </w:tcPr>
          <w:p w14:paraId="1FA366B4"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5AA7B7DE"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6F45AD7E" w14:textId="77777777" w:rsidR="004B40F7" w:rsidRPr="00E24F5C" w:rsidRDefault="004B40F7" w:rsidP="004B40F7">
            <w:pPr>
              <w:spacing w:after="49" w:line="259" w:lineRule="auto"/>
              <w:rPr>
                <w:rFonts w:ascii="Calibri" w:eastAsia="Calibri" w:hAnsi="Calibri" w:cs="Calibri"/>
                <w:bCs/>
                <w:color w:val="555655"/>
                <w:sz w:val="21"/>
              </w:rPr>
            </w:pPr>
            <w:r w:rsidRPr="00E24F5C">
              <w:rPr>
                <w:rFonts w:ascii="Calibri" w:eastAsia="Calibri" w:hAnsi="Calibri" w:cs="Calibri"/>
                <w:bCs/>
                <w:color w:val="555655"/>
                <w:sz w:val="15"/>
              </w:rPr>
              <w:t>Les enseignants sont-ils embauchés selon des critères de recrutement prédéfinis ?</w:t>
            </w:r>
          </w:p>
          <w:p w14:paraId="5F1D9F8D" w14:textId="77777777" w:rsidR="004B40F7" w:rsidRPr="00E24F5C" w:rsidRDefault="004B40F7" w:rsidP="004B40F7">
            <w:pPr>
              <w:spacing w:after="57" w:line="249" w:lineRule="auto"/>
              <w:rPr>
                <w:rFonts w:ascii="Calibri" w:eastAsia="Calibri" w:hAnsi="Calibri" w:cs="Calibri"/>
                <w:bCs/>
                <w:color w:val="555655"/>
                <w:sz w:val="21"/>
              </w:rPr>
            </w:pPr>
            <w:r w:rsidRPr="00E24F5C">
              <w:rPr>
                <w:rFonts w:ascii="Calibri" w:eastAsia="Calibri" w:hAnsi="Calibri" w:cs="Calibri"/>
                <w:bCs/>
                <w:color w:val="555655"/>
                <w:sz w:val="15"/>
              </w:rPr>
              <w:t>Les enseignants sont-ils en nombre suffisant et adaptés à l’atteinte des acquis de formation par les étudiants ?</w:t>
            </w:r>
          </w:p>
          <w:p w14:paraId="0E7EC9E7" w14:textId="77777777" w:rsidR="004B40F7" w:rsidRPr="00E24F5C" w:rsidRDefault="004B40F7" w:rsidP="004B40F7">
            <w:pPr>
              <w:spacing w:after="57" w:line="249" w:lineRule="auto"/>
              <w:rPr>
                <w:rFonts w:ascii="Calibri" w:eastAsia="Calibri" w:hAnsi="Calibri" w:cs="Calibri"/>
                <w:bCs/>
                <w:color w:val="555655"/>
                <w:sz w:val="21"/>
              </w:rPr>
            </w:pPr>
            <w:r w:rsidRPr="00E24F5C">
              <w:rPr>
                <w:rFonts w:ascii="Calibri" w:eastAsia="Calibri" w:hAnsi="Calibri" w:cs="Calibri"/>
                <w:bCs/>
                <w:color w:val="555655"/>
                <w:sz w:val="15"/>
              </w:rPr>
              <w:t>Le personnel de soutien à l’enseignement est-il adapté à l’atteinte des acquis de formation par les étudiants ?</w:t>
            </w:r>
          </w:p>
          <w:p w14:paraId="3114690D" w14:textId="77777777" w:rsidR="004B40F7" w:rsidRPr="004B40F7" w:rsidRDefault="004B40F7" w:rsidP="004B40F7">
            <w:pPr>
              <w:spacing w:line="259" w:lineRule="auto"/>
              <w:rPr>
                <w:rFonts w:ascii="Calibri" w:eastAsia="Calibri" w:hAnsi="Calibri" w:cs="Calibri"/>
                <w:b/>
                <w:color w:val="555655"/>
                <w:sz w:val="21"/>
              </w:rPr>
            </w:pPr>
            <w:r w:rsidRPr="00E24F5C">
              <w:rPr>
                <w:rFonts w:ascii="Calibri" w:eastAsia="Calibri" w:hAnsi="Calibri" w:cs="Calibri"/>
                <w:bCs/>
                <w:color w:val="555655"/>
                <w:sz w:val="15"/>
              </w:rPr>
              <w:t>La formation offre-t-elle aux enseignants des opportunités de développer leurs compétences en matière de pédagogie et d’utilisation des nouvelles technologies ?</w:t>
            </w:r>
          </w:p>
        </w:tc>
      </w:tr>
      <w:tr w:rsidR="004B40F7" w:rsidRPr="004B40F7" w14:paraId="0E62DEAF" w14:textId="77777777" w:rsidTr="008E2D7E">
        <w:tblPrEx>
          <w:tblCellMar>
            <w:right w:w="67" w:type="dxa"/>
          </w:tblCellMar>
        </w:tblPrEx>
        <w:trPr>
          <w:trHeight w:val="2079"/>
        </w:trPr>
        <w:tc>
          <w:tcPr>
            <w:tcW w:w="2820" w:type="dxa"/>
            <w:gridSpan w:val="2"/>
            <w:vMerge w:val="restart"/>
            <w:tcBorders>
              <w:top w:val="single" w:sz="2" w:space="0" w:color="555655"/>
              <w:left w:val="single" w:sz="2" w:space="0" w:color="555655"/>
              <w:bottom w:val="single" w:sz="2" w:space="0" w:color="555655"/>
              <w:right w:val="single" w:sz="2" w:space="0" w:color="555655"/>
            </w:tcBorders>
            <w:vAlign w:val="center"/>
          </w:tcPr>
          <w:p w14:paraId="136CF1F4"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lastRenderedPageBreak/>
              <w:t>3.2 Installations et personnel de soutien à l’enseignement</w:t>
            </w:r>
          </w:p>
        </w:tc>
        <w:tc>
          <w:tcPr>
            <w:tcW w:w="6245" w:type="dxa"/>
            <w:tcBorders>
              <w:top w:val="single" w:sz="2" w:space="0" w:color="555655"/>
              <w:left w:val="single" w:sz="2" w:space="0" w:color="555655"/>
              <w:bottom w:val="single" w:sz="2" w:space="0" w:color="555655"/>
              <w:right w:val="single" w:sz="2" w:space="0" w:color="555655"/>
            </w:tcBorders>
          </w:tcPr>
          <w:p w14:paraId="558AD636"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4A48B4C7" w14:textId="77777777" w:rsidR="004B40F7" w:rsidRPr="00A63C70" w:rsidRDefault="004B40F7" w:rsidP="004B40F7">
            <w:pPr>
              <w:spacing w:after="49" w:line="259" w:lineRule="auto"/>
              <w:rPr>
                <w:rFonts w:ascii="Calibri" w:eastAsia="Calibri" w:hAnsi="Calibri" w:cs="Calibri"/>
                <w:bCs/>
                <w:color w:val="555655"/>
                <w:sz w:val="21"/>
              </w:rPr>
            </w:pPr>
            <w:r w:rsidRPr="00A63C70">
              <w:rPr>
                <w:rFonts w:ascii="Calibri" w:eastAsia="Calibri" w:hAnsi="Calibri" w:cs="Calibri"/>
                <w:bCs/>
                <w:color w:val="555655"/>
                <w:sz w:val="15"/>
              </w:rPr>
              <w:t>Salles de classes utilisées pour la formation, et équipements mis à disposition.</w:t>
            </w:r>
          </w:p>
          <w:p w14:paraId="624C03FE" w14:textId="77777777" w:rsidR="004B40F7" w:rsidRPr="00A63C70" w:rsidRDefault="004B40F7" w:rsidP="004B40F7">
            <w:pPr>
              <w:spacing w:after="57" w:line="249" w:lineRule="auto"/>
              <w:rPr>
                <w:rFonts w:ascii="Calibri" w:eastAsia="Calibri" w:hAnsi="Calibri" w:cs="Calibri"/>
                <w:bCs/>
                <w:color w:val="555655"/>
                <w:sz w:val="21"/>
              </w:rPr>
            </w:pPr>
            <w:r w:rsidRPr="00A63C70">
              <w:rPr>
                <w:rFonts w:ascii="Calibri" w:eastAsia="Calibri" w:hAnsi="Calibri" w:cs="Calibri"/>
                <w:bCs/>
                <w:color w:val="555655"/>
                <w:sz w:val="15"/>
              </w:rPr>
              <w:t>Salles d’étude utilisées par les étudiants pour leur travail personnel, et équipements mis à disposition.</w:t>
            </w:r>
          </w:p>
          <w:p w14:paraId="19420EFA" w14:textId="77777777" w:rsidR="004B40F7" w:rsidRPr="00A63C70" w:rsidRDefault="004B40F7" w:rsidP="004B40F7">
            <w:pPr>
              <w:spacing w:after="57" w:line="249" w:lineRule="auto"/>
              <w:rPr>
                <w:rFonts w:ascii="Calibri" w:eastAsia="Calibri" w:hAnsi="Calibri" w:cs="Calibri"/>
                <w:bCs/>
                <w:color w:val="555655"/>
                <w:sz w:val="21"/>
              </w:rPr>
            </w:pPr>
            <w:r w:rsidRPr="00A63C70">
              <w:rPr>
                <w:rFonts w:ascii="Calibri" w:eastAsia="Calibri" w:hAnsi="Calibri" w:cs="Calibri"/>
                <w:bCs/>
                <w:color w:val="555655"/>
                <w:sz w:val="15"/>
              </w:rPr>
              <w:t>Laboratoires/ateliers utilisés pour la formation, équipements et personnel technique mis à disposition.</w:t>
            </w:r>
          </w:p>
          <w:p w14:paraId="16454F49" w14:textId="77777777" w:rsidR="004B40F7" w:rsidRPr="00A63C70" w:rsidRDefault="004B40F7" w:rsidP="004B40F7">
            <w:pPr>
              <w:spacing w:after="57" w:line="249" w:lineRule="auto"/>
              <w:rPr>
                <w:rFonts w:ascii="Calibri" w:eastAsia="Calibri" w:hAnsi="Calibri" w:cs="Calibri"/>
                <w:bCs/>
                <w:color w:val="555655"/>
                <w:sz w:val="21"/>
              </w:rPr>
            </w:pPr>
            <w:r w:rsidRPr="00A63C70">
              <w:rPr>
                <w:rFonts w:ascii="Calibri" w:eastAsia="Calibri" w:hAnsi="Calibri" w:cs="Calibri"/>
                <w:bCs/>
                <w:color w:val="555655"/>
                <w:sz w:val="15"/>
              </w:rPr>
              <w:t>Bibliothèques utilisées par les étudiants pour la formation, équipements, services et personnel de bibliothèque mis à disposition.</w:t>
            </w:r>
          </w:p>
          <w:p w14:paraId="7BFF5B6A" w14:textId="77777777" w:rsidR="004B40F7" w:rsidRPr="004B40F7" w:rsidRDefault="004B40F7" w:rsidP="004B40F7">
            <w:pPr>
              <w:spacing w:line="259" w:lineRule="auto"/>
              <w:rPr>
                <w:rFonts w:ascii="Calibri" w:eastAsia="Calibri" w:hAnsi="Calibri" w:cs="Calibri"/>
                <w:b/>
                <w:color w:val="555655"/>
                <w:sz w:val="21"/>
              </w:rPr>
            </w:pPr>
            <w:r w:rsidRPr="00A63C70">
              <w:rPr>
                <w:rFonts w:ascii="Calibri" w:eastAsia="Calibri" w:hAnsi="Calibri" w:cs="Calibri"/>
                <w:bCs/>
                <w:color w:val="555655"/>
                <w:sz w:val="15"/>
              </w:rPr>
              <w:t>Autres ressources et initiatives particulières.</w:t>
            </w:r>
          </w:p>
        </w:tc>
      </w:tr>
      <w:tr w:rsidR="004B40F7" w:rsidRPr="004B40F7" w14:paraId="0CC84FEE" w14:textId="77777777" w:rsidTr="008E2D7E">
        <w:tblPrEx>
          <w:tblCellMar>
            <w:right w:w="67" w:type="dxa"/>
          </w:tblCellMar>
        </w:tblPrEx>
        <w:trPr>
          <w:trHeight w:val="1149"/>
        </w:trPr>
        <w:tc>
          <w:tcPr>
            <w:tcW w:w="0" w:type="auto"/>
            <w:gridSpan w:val="2"/>
            <w:vMerge/>
            <w:tcBorders>
              <w:top w:val="nil"/>
              <w:left w:val="single" w:sz="2" w:space="0" w:color="555655"/>
              <w:bottom w:val="single" w:sz="2" w:space="0" w:color="555655"/>
              <w:right w:val="single" w:sz="2" w:space="0" w:color="555655"/>
            </w:tcBorders>
          </w:tcPr>
          <w:p w14:paraId="020585B8"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28E7826B"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5482FA8B" w14:textId="77777777" w:rsidR="004B40F7" w:rsidRPr="00B820A6" w:rsidRDefault="004B40F7" w:rsidP="004B40F7">
            <w:pPr>
              <w:spacing w:after="57" w:line="249" w:lineRule="auto"/>
              <w:rPr>
                <w:rFonts w:ascii="Calibri" w:eastAsia="Calibri" w:hAnsi="Calibri" w:cs="Calibri"/>
                <w:bCs/>
                <w:color w:val="555655"/>
                <w:sz w:val="21"/>
              </w:rPr>
            </w:pPr>
            <w:r w:rsidRPr="00B820A6">
              <w:rPr>
                <w:rFonts w:ascii="Calibri" w:eastAsia="Calibri" w:hAnsi="Calibri" w:cs="Calibri"/>
                <w:bCs/>
                <w:color w:val="555655"/>
                <w:sz w:val="15"/>
              </w:rPr>
              <w:t>Les installations mises à disposition pour la formation, ainsi que les équipements associés, sont-ils en nombre suffisant et adaptés à l’atteinte des objectifs de la formation, définis et planifiés, et permettent-ils l’application des méthodes didactiques prévues ?</w:t>
            </w:r>
          </w:p>
          <w:p w14:paraId="3FD295C4" w14:textId="77777777" w:rsidR="004B40F7" w:rsidRPr="004B40F7" w:rsidRDefault="004B40F7" w:rsidP="004B40F7">
            <w:pPr>
              <w:spacing w:line="259" w:lineRule="auto"/>
              <w:rPr>
                <w:rFonts w:ascii="Calibri" w:eastAsia="Calibri" w:hAnsi="Calibri" w:cs="Calibri"/>
                <w:b/>
                <w:color w:val="555655"/>
                <w:sz w:val="21"/>
              </w:rPr>
            </w:pPr>
            <w:r w:rsidRPr="00B820A6">
              <w:rPr>
                <w:rFonts w:ascii="Calibri" w:eastAsia="Calibri" w:hAnsi="Calibri" w:cs="Calibri"/>
                <w:bCs/>
                <w:color w:val="555655"/>
                <w:sz w:val="15"/>
              </w:rPr>
              <w:t>Le personnel technique et de bibliothèque est-il adapté ?</w:t>
            </w:r>
          </w:p>
        </w:tc>
      </w:tr>
      <w:tr w:rsidR="004B40F7" w:rsidRPr="004B40F7" w14:paraId="7C346B9A" w14:textId="77777777" w:rsidTr="008E2D7E">
        <w:tblPrEx>
          <w:tblCellMar>
            <w:right w:w="67" w:type="dxa"/>
          </w:tblCellMar>
        </w:tblPrEx>
        <w:trPr>
          <w:trHeight w:val="522"/>
        </w:trPr>
        <w:tc>
          <w:tcPr>
            <w:tcW w:w="2820" w:type="dxa"/>
            <w:gridSpan w:val="2"/>
            <w:vMerge w:val="restart"/>
            <w:tcBorders>
              <w:top w:val="single" w:sz="2" w:space="0" w:color="555655"/>
              <w:left w:val="single" w:sz="2" w:space="0" w:color="555655"/>
              <w:bottom w:val="single" w:sz="2" w:space="0" w:color="555655"/>
              <w:right w:val="single" w:sz="2" w:space="0" w:color="555655"/>
            </w:tcBorders>
            <w:vAlign w:val="center"/>
          </w:tcPr>
          <w:p w14:paraId="7BAF1B20"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3.3 Ressources financières</w:t>
            </w:r>
          </w:p>
        </w:tc>
        <w:tc>
          <w:tcPr>
            <w:tcW w:w="6245" w:type="dxa"/>
            <w:tcBorders>
              <w:top w:val="single" w:sz="2" w:space="0" w:color="555655"/>
              <w:left w:val="single" w:sz="2" w:space="0" w:color="555655"/>
              <w:bottom w:val="single" w:sz="2" w:space="0" w:color="555655"/>
              <w:right w:val="single" w:sz="2" w:space="0" w:color="555655"/>
            </w:tcBorders>
          </w:tcPr>
          <w:p w14:paraId="07B08746"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1A424A98" w14:textId="77777777" w:rsidR="004B40F7" w:rsidRPr="00B820A6" w:rsidRDefault="004B40F7" w:rsidP="004B40F7">
            <w:pPr>
              <w:spacing w:line="259" w:lineRule="auto"/>
              <w:rPr>
                <w:rFonts w:ascii="Calibri" w:eastAsia="Calibri" w:hAnsi="Calibri" w:cs="Calibri"/>
                <w:bCs/>
                <w:color w:val="555655"/>
                <w:sz w:val="21"/>
              </w:rPr>
            </w:pPr>
            <w:r w:rsidRPr="00B820A6">
              <w:rPr>
                <w:rFonts w:ascii="Calibri" w:eastAsia="Calibri" w:hAnsi="Calibri" w:cs="Calibri"/>
                <w:bCs/>
                <w:color w:val="555655"/>
                <w:sz w:val="15"/>
              </w:rPr>
              <w:t>Ressources financières disponibles et nécessaires.</w:t>
            </w:r>
          </w:p>
        </w:tc>
      </w:tr>
      <w:tr w:rsidR="004B40F7" w:rsidRPr="004B40F7" w14:paraId="4CED8557" w14:textId="77777777" w:rsidTr="008E2D7E">
        <w:tblPrEx>
          <w:tblCellMar>
            <w:right w:w="67" w:type="dxa"/>
          </w:tblCellMar>
        </w:tblPrEx>
        <w:trPr>
          <w:trHeight w:val="712"/>
        </w:trPr>
        <w:tc>
          <w:tcPr>
            <w:tcW w:w="0" w:type="auto"/>
            <w:gridSpan w:val="2"/>
            <w:vMerge/>
            <w:tcBorders>
              <w:top w:val="nil"/>
              <w:left w:val="single" w:sz="2" w:space="0" w:color="555655"/>
              <w:bottom w:val="single" w:sz="2" w:space="0" w:color="555655"/>
              <w:right w:val="single" w:sz="2" w:space="0" w:color="555655"/>
            </w:tcBorders>
          </w:tcPr>
          <w:p w14:paraId="0210F09B"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5EEB0EF2"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7AA9534C" w14:textId="77777777" w:rsidR="004B40F7" w:rsidRPr="00B820A6" w:rsidRDefault="004B40F7" w:rsidP="004B40F7">
            <w:pPr>
              <w:spacing w:line="259" w:lineRule="auto"/>
              <w:rPr>
                <w:rFonts w:ascii="Calibri" w:eastAsia="Calibri" w:hAnsi="Calibri" w:cs="Calibri"/>
                <w:bCs/>
                <w:color w:val="555655"/>
                <w:sz w:val="21"/>
              </w:rPr>
            </w:pPr>
            <w:r w:rsidRPr="00B820A6">
              <w:rPr>
                <w:rFonts w:ascii="Calibri" w:eastAsia="Calibri" w:hAnsi="Calibri" w:cs="Calibri"/>
                <w:bCs/>
                <w:color w:val="555655"/>
                <w:sz w:val="15"/>
              </w:rPr>
              <w:t>Les ressources financières disponibles pour la formation sont-elles adaptées à la mise en œuvre du processus d’apprentissage, tel que défini et planifié ?</w:t>
            </w:r>
          </w:p>
        </w:tc>
      </w:tr>
      <w:tr w:rsidR="004B40F7" w:rsidRPr="004B40F7" w14:paraId="65D788FA" w14:textId="77777777" w:rsidTr="008E2D7E">
        <w:tblPrEx>
          <w:tblCellMar>
            <w:right w:w="67" w:type="dxa"/>
          </w:tblCellMar>
        </w:tblPrEx>
        <w:trPr>
          <w:trHeight w:val="712"/>
        </w:trPr>
        <w:tc>
          <w:tcPr>
            <w:tcW w:w="2820" w:type="dxa"/>
            <w:gridSpan w:val="2"/>
            <w:vMerge w:val="restart"/>
            <w:tcBorders>
              <w:top w:val="single" w:sz="2" w:space="0" w:color="555655"/>
              <w:left w:val="single" w:sz="2" w:space="0" w:color="555655"/>
              <w:bottom w:val="single" w:sz="2" w:space="0" w:color="555655"/>
              <w:right w:val="single" w:sz="2" w:space="0" w:color="555655"/>
            </w:tcBorders>
            <w:vAlign w:val="center"/>
          </w:tcPr>
          <w:p w14:paraId="4F2148D3"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3.4 Services de soutien aux étudiants</w:t>
            </w:r>
          </w:p>
        </w:tc>
        <w:tc>
          <w:tcPr>
            <w:tcW w:w="6245" w:type="dxa"/>
            <w:tcBorders>
              <w:top w:val="single" w:sz="2" w:space="0" w:color="555655"/>
              <w:left w:val="single" w:sz="2" w:space="0" w:color="555655"/>
              <w:bottom w:val="single" w:sz="2" w:space="0" w:color="555655"/>
              <w:right w:val="single" w:sz="2" w:space="0" w:color="555655"/>
            </w:tcBorders>
          </w:tcPr>
          <w:p w14:paraId="4AF3A7E9"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007D66A5" w14:textId="77777777" w:rsidR="004B40F7" w:rsidRPr="00B820A6" w:rsidRDefault="004B40F7" w:rsidP="004B40F7">
            <w:pPr>
              <w:spacing w:line="259" w:lineRule="auto"/>
              <w:rPr>
                <w:rFonts w:ascii="Calibri" w:eastAsia="Calibri" w:hAnsi="Calibri" w:cs="Calibri"/>
                <w:bCs/>
                <w:color w:val="555655"/>
                <w:sz w:val="21"/>
              </w:rPr>
            </w:pPr>
            <w:r w:rsidRPr="00B820A6">
              <w:rPr>
                <w:rFonts w:ascii="Calibri" w:eastAsia="Calibri" w:hAnsi="Calibri" w:cs="Calibri"/>
                <w:bCs/>
                <w:color w:val="555655"/>
                <w:sz w:val="15"/>
              </w:rPr>
              <w:t>Organisation, gestion et activités des services de soutien aux étudiants (orientation de carrière, tutorat et aide), et personnel administratif mis à disposition.</w:t>
            </w:r>
          </w:p>
        </w:tc>
      </w:tr>
      <w:tr w:rsidR="004B40F7" w:rsidRPr="004B40F7" w14:paraId="1B1F0828" w14:textId="77777777" w:rsidTr="008E2D7E">
        <w:tblPrEx>
          <w:tblCellMar>
            <w:right w:w="67" w:type="dxa"/>
          </w:tblCellMar>
        </w:tblPrEx>
        <w:trPr>
          <w:trHeight w:val="1339"/>
        </w:trPr>
        <w:tc>
          <w:tcPr>
            <w:tcW w:w="0" w:type="auto"/>
            <w:gridSpan w:val="2"/>
            <w:vMerge/>
            <w:tcBorders>
              <w:top w:val="nil"/>
              <w:left w:val="single" w:sz="2" w:space="0" w:color="555655"/>
              <w:bottom w:val="single" w:sz="2" w:space="0" w:color="555655"/>
              <w:right w:val="single" w:sz="2" w:space="0" w:color="555655"/>
            </w:tcBorders>
          </w:tcPr>
          <w:p w14:paraId="18AED224"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05C05C90"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3FABBD9B" w14:textId="77777777" w:rsidR="004B40F7" w:rsidRPr="00155124" w:rsidRDefault="004B40F7" w:rsidP="004B40F7">
            <w:pPr>
              <w:spacing w:after="57" w:line="249" w:lineRule="auto"/>
              <w:rPr>
                <w:rFonts w:ascii="Calibri" w:eastAsia="Calibri" w:hAnsi="Calibri" w:cs="Calibri"/>
                <w:bCs/>
                <w:color w:val="555655"/>
                <w:sz w:val="21"/>
              </w:rPr>
            </w:pPr>
            <w:r w:rsidRPr="00155124">
              <w:rPr>
                <w:rFonts w:ascii="Calibri" w:eastAsia="Calibri" w:hAnsi="Calibri" w:cs="Calibri"/>
                <w:bCs/>
                <w:color w:val="555655"/>
                <w:sz w:val="15"/>
              </w:rPr>
              <w:t>La formation prévoit-elle des services de soutien aux étudiants (orientation de carrière, tutorat et aide) adaptés au processus d’apprentissage, et facilite-t-elle l’apprentissage et la progression des étudiants ?</w:t>
            </w:r>
          </w:p>
          <w:p w14:paraId="3A95AD1D" w14:textId="77777777" w:rsidR="004B40F7" w:rsidRPr="004B40F7" w:rsidRDefault="004B40F7" w:rsidP="004B40F7">
            <w:pPr>
              <w:spacing w:line="259" w:lineRule="auto"/>
              <w:rPr>
                <w:rFonts w:ascii="Calibri" w:eastAsia="Calibri" w:hAnsi="Calibri" w:cs="Calibri"/>
                <w:b/>
                <w:color w:val="555655"/>
                <w:sz w:val="21"/>
              </w:rPr>
            </w:pPr>
            <w:r w:rsidRPr="00155124">
              <w:rPr>
                <w:rFonts w:ascii="Calibri" w:eastAsia="Calibri" w:hAnsi="Calibri" w:cs="Calibri"/>
                <w:bCs/>
                <w:color w:val="555655"/>
                <w:sz w:val="15"/>
              </w:rPr>
              <w:t>Le personnel administratif est-il en nombre suffisant et adapté à la gestion efficace des services de soutien aux étudiants ?</w:t>
            </w:r>
          </w:p>
        </w:tc>
      </w:tr>
      <w:tr w:rsidR="004B40F7" w:rsidRPr="004B40F7" w14:paraId="477CDDFB" w14:textId="77777777" w:rsidTr="003C1F9B">
        <w:tblPrEx>
          <w:tblCellMar>
            <w:right w:w="79" w:type="dxa"/>
          </w:tblCellMar>
        </w:tblPrEx>
        <w:trPr>
          <w:trHeight w:val="769"/>
        </w:trPr>
        <w:tc>
          <w:tcPr>
            <w:tcW w:w="2820" w:type="dxa"/>
            <w:gridSpan w:val="2"/>
            <w:vMerge w:val="restart"/>
            <w:tcBorders>
              <w:top w:val="single" w:sz="2" w:space="0" w:color="555655"/>
              <w:left w:val="single" w:sz="2" w:space="0" w:color="555655"/>
              <w:bottom w:val="single" w:sz="2" w:space="0" w:color="555655"/>
              <w:right w:val="single" w:sz="2" w:space="0" w:color="555655"/>
            </w:tcBorders>
            <w:vAlign w:val="center"/>
          </w:tcPr>
          <w:p w14:paraId="636691F3"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3.5 Partenariats</w:t>
            </w:r>
          </w:p>
        </w:tc>
        <w:tc>
          <w:tcPr>
            <w:tcW w:w="6245" w:type="dxa"/>
            <w:tcBorders>
              <w:top w:val="single" w:sz="2" w:space="0" w:color="555655"/>
              <w:left w:val="single" w:sz="2" w:space="0" w:color="555655"/>
              <w:bottom w:val="single" w:sz="2" w:space="0" w:color="555655"/>
              <w:right w:val="single" w:sz="2" w:space="0" w:color="555655"/>
            </w:tcBorders>
          </w:tcPr>
          <w:p w14:paraId="70F9FBC1"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413C0B35"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Partenariats permettant des périodes de formation en dehors de l’institution.</w:t>
            </w:r>
          </w:p>
          <w:p w14:paraId="3786BFE7"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Partenariats de mobilité internationale permettant des périodes d’étude à l’étranger.</w:t>
            </w:r>
          </w:p>
        </w:tc>
      </w:tr>
      <w:tr w:rsidR="004B40F7" w:rsidRPr="004B40F7" w14:paraId="57A22F95" w14:textId="77777777" w:rsidTr="003C1F9B">
        <w:tblPrEx>
          <w:tblCellMar>
            <w:right w:w="79" w:type="dxa"/>
          </w:tblCellMar>
        </w:tblPrEx>
        <w:trPr>
          <w:trHeight w:val="1339"/>
        </w:trPr>
        <w:tc>
          <w:tcPr>
            <w:tcW w:w="0" w:type="auto"/>
            <w:gridSpan w:val="2"/>
            <w:vMerge/>
            <w:tcBorders>
              <w:top w:val="nil"/>
              <w:left w:val="single" w:sz="2" w:space="0" w:color="555655"/>
              <w:bottom w:val="single" w:sz="2" w:space="0" w:color="555655"/>
              <w:right w:val="single" w:sz="2" w:space="0" w:color="555655"/>
            </w:tcBorders>
          </w:tcPr>
          <w:p w14:paraId="1C5CB097"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2AEF527F"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3A3C8A1C" w14:textId="77777777" w:rsidR="004B40F7" w:rsidRPr="004B40F7" w:rsidRDefault="004B40F7" w:rsidP="004B40F7">
            <w:pPr>
              <w:spacing w:after="57" w:line="249" w:lineRule="auto"/>
              <w:rPr>
                <w:rFonts w:ascii="Calibri" w:eastAsia="Calibri" w:hAnsi="Calibri" w:cs="Calibri"/>
                <w:b/>
                <w:color w:val="555655"/>
                <w:sz w:val="21"/>
              </w:rPr>
            </w:pPr>
            <w:r w:rsidRPr="004B40F7">
              <w:rPr>
                <w:rFonts w:ascii="Calibri" w:eastAsia="Calibri" w:hAnsi="Calibri" w:cs="Calibri"/>
                <w:b/>
                <w:color w:val="555655"/>
                <w:sz w:val="15"/>
              </w:rPr>
              <w:t>Les partenariats avec des entités publiques/privées pour des périodes de formation en dehors de l’institution sont-ils en nombre suffisant et adaptés à l’atteinte des acquis de formation ?</w:t>
            </w:r>
          </w:p>
          <w:p w14:paraId="3F8B21F3"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Les partenariats de mobilité internationale avec des EES à l’étranger sont-ils en nombre suffisant et adaptés à l’atteinte des acquis de formation ?</w:t>
            </w:r>
          </w:p>
        </w:tc>
      </w:tr>
      <w:tr w:rsidR="004B40F7" w:rsidRPr="004B40F7" w14:paraId="4D520903" w14:textId="77777777" w:rsidTr="003C1F9B">
        <w:tblPrEx>
          <w:tblCellMar>
            <w:right w:w="79" w:type="dxa"/>
          </w:tblCellMar>
        </w:tblPrEx>
        <w:trPr>
          <w:trHeight w:val="275"/>
        </w:trPr>
        <w:tc>
          <w:tcPr>
            <w:tcW w:w="9065" w:type="dxa"/>
            <w:gridSpan w:val="3"/>
            <w:tcBorders>
              <w:top w:val="single" w:sz="2" w:space="0" w:color="555655"/>
              <w:left w:val="single" w:sz="2" w:space="0" w:color="555655"/>
              <w:bottom w:val="single" w:sz="2" w:space="0" w:color="555655"/>
              <w:right w:val="single" w:sz="2" w:space="0" w:color="555655"/>
            </w:tcBorders>
            <w:shd w:val="clear" w:color="auto" w:fill="FFEEDD"/>
          </w:tcPr>
          <w:p w14:paraId="04084BD6" w14:textId="77777777" w:rsidR="004B40F7" w:rsidRPr="004B40F7" w:rsidRDefault="004B40F7" w:rsidP="004B40F7">
            <w:pPr>
              <w:spacing w:line="259" w:lineRule="auto"/>
              <w:ind w:right="1"/>
              <w:jc w:val="center"/>
              <w:rPr>
                <w:rFonts w:ascii="Calibri" w:eastAsia="Calibri" w:hAnsi="Calibri" w:cs="Calibri"/>
                <w:b/>
                <w:color w:val="555655"/>
                <w:sz w:val="21"/>
              </w:rPr>
            </w:pPr>
            <w:r w:rsidRPr="004B40F7">
              <w:rPr>
                <w:rFonts w:ascii="Calibri" w:eastAsia="Calibri" w:hAnsi="Calibri" w:cs="Calibri"/>
                <w:b/>
                <w:color w:val="555655"/>
                <w:sz w:val="15"/>
              </w:rPr>
              <w:t>4. Admission, passage, progression et validation du diplôme</w:t>
            </w:r>
          </w:p>
        </w:tc>
      </w:tr>
      <w:tr w:rsidR="004B40F7" w:rsidRPr="004B40F7" w14:paraId="728AFB99" w14:textId="77777777" w:rsidTr="003C1F9B">
        <w:tblPrEx>
          <w:tblCellMar>
            <w:right w:w="79" w:type="dxa"/>
          </w:tblCellMar>
        </w:tblPrEx>
        <w:trPr>
          <w:trHeight w:val="1586"/>
        </w:trPr>
        <w:tc>
          <w:tcPr>
            <w:tcW w:w="2820" w:type="dxa"/>
            <w:gridSpan w:val="2"/>
            <w:tcBorders>
              <w:top w:val="single" w:sz="2" w:space="0" w:color="555655"/>
              <w:left w:val="single" w:sz="2" w:space="0" w:color="555655"/>
              <w:bottom w:val="single" w:sz="2" w:space="0" w:color="555655"/>
              <w:right w:val="single" w:sz="2" w:space="0" w:color="555655"/>
            </w:tcBorders>
            <w:vAlign w:val="center"/>
          </w:tcPr>
          <w:p w14:paraId="5F30A1BD"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4.1 Règles gouvernant la progression des étudiants lors de la formation</w:t>
            </w:r>
          </w:p>
        </w:tc>
        <w:tc>
          <w:tcPr>
            <w:tcW w:w="6245" w:type="dxa"/>
            <w:tcBorders>
              <w:top w:val="single" w:sz="2" w:space="0" w:color="555655"/>
              <w:left w:val="single" w:sz="2" w:space="0" w:color="555655"/>
              <w:bottom w:val="single" w:sz="2" w:space="0" w:color="555655"/>
              <w:right w:val="single" w:sz="2" w:space="0" w:color="555655"/>
            </w:tcBorders>
          </w:tcPr>
          <w:p w14:paraId="67B9ADD8"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594F1DAB" w14:textId="77777777" w:rsidR="004B40F7" w:rsidRPr="004B40F7" w:rsidRDefault="004B40F7" w:rsidP="004B40F7">
            <w:pPr>
              <w:spacing w:after="57" w:line="249" w:lineRule="auto"/>
              <w:rPr>
                <w:rFonts w:ascii="Calibri" w:eastAsia="Calibri" w:hAnsi="Calibri" w:cs="Calibri"/>
                <w:b/>
                <w:color w:val="555655"/>
                <w:sz w:val="21"/>
              </w:rPr>
            </w:pPr>
            <w:r w:rsidRPr="004B40F7">
              <w:rPr>
                <w:rFonts w:ascii="Calibri" w:eastAsia="Calibri" w:hAnsi="Calibri" w:cs="Calibri"/>
                <w:b/>
                <w:color w:val="555655"/>
                <w:sz w:val="15"/>
              </w:rPr>
              <w:t>Qualifications et prérequis d’admission à la formation, et méthodes de vérification de leur possession effective par les étudiants.</w:t>
            </w:r>
          </w:p>
          <w:p w14:paraId="4B322008" w14:textId="77777777" w:rsidR="004B40F7" w:rsidRPr="004B40F7" w:rsidRDefault="004B40F7" w:rsidP="004B40F7">
            <w:pPr>
              <w:spacing w:after="57" w:line="249" w:lineRule="auto"/>
              <w:rPr>
                <w:rFonts w:ascii="Calibri" w:eastAsia="Calibri" w:hAnsi="Calibri" w:cs="Calibri"/>
                <w:b/>
                <w:color w:val="555655"/>
                <w:sz w:val="21"/>
              </w:rPr>
            </w:pPr>
            <w:r w:rsidRPr="004B40F7">
              <w:rPr>
                <w:rFonts w:ascii="Calibri" w:eastAsia="Calibri" w:hAnsi="Calibri" w:cs="Calibri"/>
                <w:b/>
                <w:color w:val="555655"/>
                <w:sz w:val="15"/>
              </w:rPr>
              <w:t>Règles de reconnaissance de leurs diplômes d’enseignement supérieur, périodes d’étude et formations précédentes.</w:t>
            </w:r>
          </w:p>
          <w:p w14:paraId="5D03B6DC"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Critères de gestion de la progression des étudiants lors de leur formation. Certification de la validation de la formation des étudiants.</w:t>
            </w:r>
          </w:p>
        </w:tc>
      </w:tr>
      <w:tr w:rsidR="004B40F7" w:rsidRPr="004B40F7" w14:paraId="18B66BC1" w14:textId="77777777" w:rsidTr="003C1F9B">
        <w:tblPrEx>
          <w:tblCellMar>
            <w:right w:w="79" w:type="dxa"/>
          </w:tblCellMar>
        </w:tblPrEx>
        <w:trPr>
          <w:trHeight w:val="769"/>
        </w:trPr>
        <w:tc>
          <w:tcPr>
            <w:tcW w:w="2820" w:type="dxa"/>
            <w:gridSpan w:val="2"/>
            <w:vMerge w:val="restart"/>
            <w:tcBorders>
              <w:top w:val="single" w:sz="2" w:space="0" w:color="555655"/>
              <w:left w:val="single" w:sz="2" w:space="0" w:color="555655"/>
              <w:bottom w:val="single" w:sz="2" w:space="0" w:color="555655"/>
              <w:right w:val="single" w:sz="2" w:space="0" w:color="555655"/>
            </w:tcBorders>
            <w:vAlign w:val="center"/>
          </w:tcPr>
          <w:p w14:paraId="58E30914"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4.2 Admission des étudiants</w:t>
            </w:r>
          </w:p>
        </w:tc>
        <w:tc>
          <w:tcPr>
            <w:tcW w:w="6245" w:type="dxa"/>
            <w:tcBorders>
              <w:top w:val="single" w:sz="2" w:space="0" w:color="555655"/>
              <w:left w:val="single" w:sz="2" w:space="0" w:color="555655"/>
              <w:bottom w:val="single" w:sz="2" w:space="0" w:color="555655"/>
              <w:right w:val="single" w:sz="2" w:space="0" w:color="555655"/>
            </w:tcBorders>
          </w:tcPr>
          <w:p w14:paraId="18E01EB5"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6906C272"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Résultats de la vérification de la possession des éléments demandés à l’admission.</w:t>
            </w:r>
          </w:p>
          <w:p w14:paraId="435E6E33"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Résultats des examens de première année.</w:t>
            </w:r>
          </w:p>
        </w:tc>
      </w:tr>
      <w:tr w:rsidR="004B40F7" w:rsidRPr="004B40F7" w14:paraId="2BAEA9CA" w14:textId="77777777" w:rsidTr="003C1F9B">
        <w:tblPrEx>
          <w:tblCellMar>
            <w:right w:w="79" w:type="dxa"/>
          </w:tblCellMar>
        </w:tblPrEx>
        <w:trPr>
          <w:trHeight w:val="1149"/>
        </w:trPr>
        <w:tc>
          <w:tcPr>
            <w:tcW w:w="0" w:type="auto"/>
            <w:gridSpan w:val="2"/>
            <w:vMerge/>
            <w:tcBorders>
              <w:top w:val="nil"/>
              <w:left w:val="single" w:sz="2" w:space="0" w:color="555655"/>
              <w:bottom w:val="single" w:sz="2" w:space="0" w:color="555655"/>
              <w:right w:val="single" w:sz="2" w:space="0" w:color="555655"/>
            </w:tcBorders>
          </w:tcPr>
          <w:p w14:paraId="29507AB2"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0F7FBF41"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32D8EA1E" w14:textId="77777777" w:rsidR="004B40F7" w:rsidRPr="004B40F7" w:rsidRDefault="004B40F7" w:rsidP="004B40F7">
            <w:pPr>
              <w:spacing w:after="57" w:line="249" w:lineRule="auto"/>
              <w:rPr>
                <w:rFonts w:ascii="Calibri" w:eastAsia="Calibri" w:hAnsi="Calibri" w:cs="Calibri"/>
                <w:b/>
                <w:color w:val="555655"/>
                <w:sz w:val="21"/>
              </w:rPr>
            </w:pPr>
            <w:r w:rsidRPr="004B40F7">
              <w:rPr>
                <w:rFonts w:ascii="Calibri" w:eastAsia="Calibri" w:hAnsi="Calibri" w:cs="Calibri"/>
                <w:b/>
                <w:color w:val="555655"/>
                <w:sz w:val="15"/>
              </w:rPr>
              <w:t>Les résultats des examens de première année fournissent-ils la preuve de l’attractivité de la formation et de l’adéquation des prérequis d’admission ?</w:t>
            </w:r>
          </w:p>
          <w:p w14:paraId="469A6201"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Le programme d’enseignement de la première année motive-t-il les élèves à entreprendre des études d’ingénieur ?</w:t>
            </w:r>
          </w:p>
        </w:tc>
      </w:tr>
    </w:tbl>
    <w:p w14:paraId="4D21CA8B" w14:textId="77777777" w:rsidR="003C1F9B" w:rsidRDefault="003C1F9B">
      <w:r>
        <w:br w:type="page"/>
      </w:r>
    </w:p>
    <w:tbl>
      <w:tblPr>
        <w:tblStyle w:val="TableGrid"/>
        <w:tblW w:w="9065" w:type="dxa"/>
        <w:tblInd w:w="423" w:type="dxa"/>
        <w:tblCellMar>
          <w:top w:w="60" w:type="dxa"/>
          <w:left w:w="80" w:type="dxa"/>
          <w:right w:w="79" w:type="dxa"/>
        </w:tblCellMar>
        <w:tblLook w:val="04A0" w:firstRow="1" w:lastRow="0" w:firstColumn="1" w:lastColumn="0" w:noHBand="0" w:noVBand="1"/>
      </w:tblPr>
      <w:tblGrid>
        <w:gridCol w:w="2820"/>
        <w:gridCol w:w="6245"/>
      </w:tblGrid>
      <w:tr w:rsidR="004B40F7" w:rsidRPr="004B40F7" w14:paraId="2D1A1BE7" w14:textId="77777777" w:rsidTr="003C1F9B">
        <w:trPr>
          <w:trHeight w:val="712"/>
        </w:trPr>
        <w:tc>
          <w:tcPr>
            <w:tcW w:w="2820" w:type="dxa"/>
            <w:vMerge w:val="restart"/>
            <w:tcBorders>
              <w:top w:val="single" w:sz="2" w:space="0" w:color="555655"/>
              <w:left w:val="single" w:sz="2" w:space="0" w:color="555655"/>
              <w:bottom w:val="single" w:sz="2" w:space="0" w:color="555655"/>
              <w:right w:val="single" w:sz="2" w:space="0" w:color="555655"/>
            </w:tcBorders>
            <w:vAlign w:val="center"/>
          </w:tcPr>
          <w:p w14:paraId="66B473A9" w14:textId="47276385"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lastRenderedPageBreak/>
              <w:t>4.3 Évaluation des étudiants</w:t>
            </w:r>
          </w:p>
        </w:tc>
        <w:tc>
          <w:tcPr>
            <w:tcW w:w="6245" w:type="dxa"/>
            <w:tcBorders>
              <w:top w:val="single" w:sz="2" w:space="0" w:color="555655"/>
              <w:left w:val="single" w:sz="2" w:space="0" w:color="555655"/>
              <w:bottom w:val="single" w:sz="2" w:space="0" w:color="555655"/>
              <w:right w:val="single" w:sz="2" w:space="0" w:color="555655"/>
            </w:tcBorders>
          </w:tcPr>
          <w:p w14:paraId="33C60CF6"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4FEC08CA"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Résultats de l’évaluation de l’apprentissage des étudiants dans chaque module et pour chaque année.</w:t>
            </w:r>
          </w:p>
        </w:tc>
      </w:tr>
      <w:tr w:rsidR="004B40F7" w:rsidRPr="004B40F7" w14:paraId="6C845513" w14:textId="77777777" w:rsidTr="003C1F9B">
        <w:trPr>
          <w:trHeight w:val="712"/>
        </w:trPr>
        <w:tc>
          <w:tcPr>
            <w:tcW w:w="0" w:type="auto"/>
            <w:vMerge/>
            <w:tcBorders>
              <w:top w:val="nil"/>
              <w:left w:val="single" w:sz="2" w:space="0" w:color="555655"/>
              <w:bottom w:val="single" w:sz="2" w:space="0" w:color="555655"/>
              <w:right w:val="single" w:sz="2" w:space="0" w:color="555655"/>
            </w:tcBorders>
          </w:tcPr>
          <w:p w14:paraId="5DAD43AF"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5B0A7773"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3B955FAD" w14:textId="77777777" w:rsidR="004B40F7" w:rsidRPr="009D051A" w:rsidRDefault="004B40F7" w:rsidP="004B40F7">
            <w:pPr>
              <w:spacing w:line="259" w:lineRule="auto"/>
              <w:rPr>
                <w:rFonts w:ascii="Calibri" w:eastAsia="Calibri" w:hAnsi="Calibri" w:cs="Calibri"/>
                <w:bCs/>
                <w:color w:val="555655"/>
                <w:sz w:val="21"/>
              </w:rPr>
            </w:pPr>
            <w:r w:rsidRPr="009D051A">
              <w:rPr>
                <w:rFonts w:ascii="Calibri" w:eastAsia="Calibri" w:hAnsi="Calibri" w:cs="Calibri"/>
                <w:bCs/>
                <w:color w:val="555655"/>
                <w:sz w:val="15"/>
              </w:rPr>
              <w:t>Les résultats du suivi des acquisitions d’apprentissage des étudiants fournissent-ils la preuve de l’efficacité du processus d’apprentissage des cours/modules ?</w:t>
            </w:r>
          </w:p>
        </w:tc>
      </w:tr>
      <w:tr w:rsidR="004B40F7" w:rsidRPr="004B40F7" w14:paraId="42E1C720" w14:textId="77777777" w:rsidTr="003C1F9B">
        <w:trPr>
          <w:trHeight w:val="1149"/>
        </w:trPr>
        <w:tc>
          <w:tcPr>
            <w:tcW w:w="2820" w:type="dxa"/>
            <w:vMerge w:val="restart"/>
            <w:tcBorders>
              <w:top w:val="single" w:sz="2" w:space="0" w:color="555655"/>
              <w:left w:val="single" w:sz="2" w:space="0" w:color="555655"/>
              <w:bottom w:val="single" w:sz="2" w:space="0" w:color="555655"/>
              <w:right w:val="single" w:sz="2" w:space="0" w:color="555655"/>
            </w:tcBorders>
            <w:vAlign w:val="center"/>
          </w:tcPr>
          <w:p w14:paraId="2BC0A2F4"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4.4 Progression des étudiants</w:t>
            </w:r>
          </w:p>
        </w:tc>
        <w:tc>
          <w:tcPr>
            <w:tcW w:w="6245" w:type="dxa"/>
            <w:tcBorders>
              <w:top w:val="single" w:sz="2" w:space="0" w:color="555655"/>
              <w:left w:val="single" w:sz="2" w:space="0" w:color="555655"/>
              <w:bottom w:val="single" w:sz="2" w:space="0" w:color="555655"/>
              <w:right w:val="single" w:sz="2" w:space="0" w:color="555655"/>
            </w:tcBorders>
          </w:tcPr>
          <w:p w14:paraId="18383798"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3FB98A9A" w14:textId="77777777" w:rsidR="004B40F7" w:rsidRPr="009D051A" w:rsidRDefault="004B40F7" w:rsidP="004B40F7">
            <w:pPr>
              <w:spacing w:after="57" w:line="249" w:lineRule="auto"/>
              <w:rPr>
                <w:rFonts w:ascii="Calibri" w:eastAsia="Calibri" w:hAnsi="Calibri" w:cs="Calibri"/>
                <w:bCs/>
                <w:color w:val="555655"/>
                <w:sz w:val="21"/>
              </w:rPr>
            </w:pPr>
            <w:r w:rsidRPr="009D051A">
              <w:rPr>
                <w:rFonts w:ascii="Calibri" w:eastAsia="Calibri" w:hAnsi="Calibri" w:cs="Calibri"/>
                <w:bCs/>
                <w:color w:val="555655"/>
                <w:sz w:val="15"/>
              </w:rPr>
              <w:t>Résultats du suivi de la progression des étudiants pour chaque année de formation. Résultats du suivi des abandons.</w:t>
            </w:r>
          </w:p>
          <w:p w14:paraId="4C06FB41" w14:textId="77777777" w:rsidR="004B40F7" w:rsidRPr="004B40F7" w:rsidRDefault="004B40F7" w:rsidP="004B40F7">
            <w:pPr>
              <w:spacing w:line="259" w:lineRule="auto"/>
              <w:rPr>
                <w:rFonts w:ascii="Calibri" w:eastAsia="Calibri" w:hAnsi="Calibri" w:cs="Calibri"/>
                <w:b/>
                <w:color w:val="555655"/>
                <w:sz w:val="21"/>
              </w:rPr>
            </w:pPr>
            <w:r w:rsidRPr="009D051A">
              <w:rPr>
                <w:rFonts w:ascii="Calibri" w:eastAsia="Calibri" w:hAnsi="Calibri" w:cs="Calibri"/>
                <w:bCs/>
                <w:color w:val="555655"/>
                <w:sz w:val="15"/>
              </w:rPr>
              <w:t>Résultats du suivi des crédits acquis par les étudiants passant d’une année de formation à une autre. Résultats du suivi de la durée des études menant à la validation du diplôme.</w:t>
            </w:r>
          </w:p>
        </w:tc>
      </w:tr>
      <w:tr w:rsidR="004B40F7" w:rsidRPr="004B40F7" w14:paraId="35A791B9" w14:textId="77777777" w:rsidTr="003C1F9B">
        <w:trPr>
          <w:trHeight w:val="712"/>
        </w:trPr>
        <w:tc>
          <w:tcPr>
            <w:tcW w:w="0" w:type="auto"/>
            <w:vMerge/>
            <w:tcBorders>
              <w:top w:val="nil"/>
              <w:left w:val="single" w:sz="2" w:space="0" w:color="555655"/>
              <w:bottom w:val="single" w:sz="2" w:space="0" w:color="555655"/>
              <w:right w:val="single" w:sz="2" w:space="0" w:color="555655"/>
            </w:tcBorders>
          </w:tcPr>
          <w:p w14:paraId="6AA100A5"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3DA2BAF8"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26EB8DB1" w14:textId="77777777" w:rsidR="004B40F7" w:rsidRPr="007B7822" w:rsidRDefault="004B40F7" w:rsidP="004B40F7">
            <w:pPr>
              <w:spacing w:line="259" w:lineRule="auto"/>
              <w:rPr>
                <w:rFonts w:ascii="Calibri" w:eastAsia="Calibri" w:hAnsi="Calibri" w:cs="Calibri"/>
                <w:bCs/>
                <w:color w:val="555655"/>
                <w:sz w:val="21"/>
              </w:rPr>
            </w:pPr>
            <w:r w:rsidRPr="007B7822">
              <w:rPr>
                <w:rFonts w:ascii="Calibri" w:eastAsia="Calibri" w:hAnsi="Calibri" w:cs="Calibri"/>
                <w:bCs/>
                <w:color w:val="555655"/>
                <w:sz w:val="15"/>
              </w:rPr>
              <w:t>Les résultats du suivi de la progression des étudiants tout au long de leur formation fournissent-ils la preuve de l’efficacité du processus d’apprentissage ?</w:t>
            </w:r>
          </w:p>
        </w:tc>
      </w:tr>
      <w:tr w:rsidR="004B40F7" w:rsidRPr="004B40F7" w14:paraId="74405560" w14:textId="77777777" w:rsidTr="003C1F9B">
        <w:trPr>
          <w:trHeight w:val="275"/>
        </w:trPr>
        <w:tc>
          <w:tcPr>
            <w:tcW w:w="2820" w:type="dxa"/>
            <w:tcBorders>
              <w:top w:val="single" w:sz="2" w:space="0" w:color="555655"/>
              <w:left w:val="single" w:sz="2" w:space="0" w:color="555655"/>
              <w:bottom w:val="single" w:sz="2" w:space="0" w:color="555655"/>
              <w:right w:val="nil"/>
            </w:tcBorders>
            <w:shd w:val="clear" w:color="auto" w:fill="FFEEDD"/>
          </w:tcPr>
          <w:p w14:paraId="788E388D"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nil"/>
              <w:bottom w:val="single" w:sz="2" w:space="0" w:color="555655"/>
              <w:right w:val="single" w:sz="2" w:space="0" w:color="555655"/>
            </w:tcBorders>
            <w:shd w:val="clear" w:color="auto" w:fill="FFEEDD"/>
          </w:tcPr>
          <w:p w14:paraId="031C6AF8" w14:textId="77777777" w:rsidR="004B40F7" w:rsidRPr="004B40F7" w:rsidRDefault="004B40F7" w:rsidP="004B40F7">
            <w:pPr>
              <w:spacing w:line="259" w:lineRule="auto"/>
              <w:ind w:left="704"/>
              <w:rPr>
                <w:rFonts w:ascii="Calibri" w:eastAsia="Calibri" w:hAnsi="Calibri" w:cs="Calibri"/>
                <w:b/>
                <w:color w:val="555655"/>
                <w:sz w:val="21"/>
              </w:rPr>
            </w:pPr>
            <w:r w:rsidRPr="004B40F7">
              <w:rPr>
                <w:rFonts w:ascii="Calibri" w:eastAsia="Calibri" w:hAnsi="Calibri" w:cs="Calibri"/>
                <w:b/>
                <w:color w:val="555655"/>
                <w:sz w:val="15"/>
              </w:rPr>
              <w:t>5. Assurance qualité interne</w:t>
            </w:r>
          </w:p>
        </w:tc>
      </w:tr>
      <w:tr w:rsidR="004B40F7" w:rsidRPr="004B40F7" w14:paraId="4BDC9A58" w14:textId="77777777" w:rsidTr="003C1F9B">
        <w:trPr>
          <w:trHeight w:val="959"/>
        </w:trPr>
        <w:tc>
          <w:tcPr>
            <w:tcW w:w="2820" w:type="dxa"/>
            <w:vMerge w:val="restart"/>
            <w:tcBorders>
              <w:top w:val="single" w:sz="2" w:space="0" w:color="555655"/>
              <w:left w:val="single" w:sz="2" w:space="0" w:color="555655"/>
              <w:bottom w:val="single" w:sz="2" w:space="0" w:color="555655"/>
              <w:right w:val="single" w:sz="2" w:space="0" w:color="555655"/>
            </w:tcBorders>
            <w:vAlign w:val="center"/>
          </w:tcPr>
          <w:p w14:paraId="6318474D"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5.1 Politique et processus d’assurance qualité des formations</w:t>
            </w:r>
          </w:p>
        </w:tc>
        <w:tc>
          <w:tcPr>
            <w:tcW w:w="6245" w:type="dxa"/>
            <w:tcBorders>
              <w:top w:val="single" w:sz="2" w:space="0" w:color="555655"/>
              <w:left w:val="single" w:sz="2" w:space="0" w:color="555655"/>
              <w:bottom w:val="single" w:sz="2" w:space="0" w:color="555655"/>
              <w:right w:val="single" w:sz="2" w:space="0" w:color="555655"/>
            </w:tcBorders>
          </w:tcPr>
          <w:p w14:paraId="35743675"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4659E60B" w14:textId="77777777" w:rsidR="004B40F7" w:rsidRPr="007B7822" w:rsidRDefault="004B40F7" w:rsidP="004B40F7">
            <w:pPr>
              <w:spacing w:after="49" w:line="259" w:lineRule="auto"/>
              <w:rPr>
                <w:rFonts w:ascii="Calibri" w:eastAsia="Calibri" w:hAnsi="Calibri" w:cs="Calibri"/>
                <w:bCs/>
                <w:color w:val="555655"/>
                <w:sz w:val="21"/>
              </w:rPr>
            </w:pPr>
            <w:r w:rsidRPr="007B7822">
              <w:rPr>
                <w:rFonts w:ascii="Calibri" w:eastAsia="Calibri" w:hAnsi="Calibri" w:cs="Calibri"/>
                <w:bCs/>
                <w:color w:val="555655"/>
                <w:sz w:val="15"/>
              </w:rPr>
              <w:t>Politique d’assurance qualité des formations de l’EES.</w:t>
            </w:r>
          </w:p>
          <w:p w14:paraId="01DB0F0A" w14:textId="77777777" w:rsidR="004B40F7" w:rsidRPr="004B40F7" w:rsidRDefault="004B40F7" w:rsidP="004B40F7">
            <w:pPr>
              <w:spacing w:line="259" w:lineRule="auto"/>
              <w:rPr>
                <w:rFonts w:ascii="Calibri" w:eastAsia="Calibri" w:hAnsi="Calibri" w:cs="Calibri"/>
                <w:b/>
                <w:color w:val="555655"/>
                <w:sz w:val="21"/>
              </w:rPr>
            </w:pPr>
            <w:r w:rsidRPr="007B7822">
              <w:rPr>
                <w:rFonts w:ascii="Calibri" w:eastAsia="Calibri" w:hAnsi="Calibri" w:cs="Calibri"/>
                <w:bCs/>
                <w:color w:val="555655"/>
                <w:sz w:val="15"/>
              </w:rPr>
              <w:t>Structure organisationnelle de l’assurance qualité des formations et des processus de prise de décisions de l’EES.</w:t>
            </w:r>
          </w:p>
        </w:tc>
      </w:tr>
      <w:tr w:rsidR="004B40F7" w:rsidRPr="004B40F7" w14:paraId="337372DE" w14:textId="77777777" w:rsidTr="003C1F9B">
        <w:trPr>
          <w:trHeight w:val="959"/>
        </w:trPr>
        <w:tc>
          <w:tcPr>
            <w:tcW w:w="0" w:type="auto"/>
            <w:vMerge/>
            <w:tcBorders>
              <w:top w:val="nil"/>
              <w:left w:val="single" w:sz="2" w:space="0" w:color="555655"/>
              <w:bottom w:val="single" w:sz="2" w:space="0" w:color="555655"/>
              <w:right w:val="single" w:sz="2" w:space="0" w:color="555655"/>
            </w:tcBorders>
          </w:tcPr>
          <w:p w14:paraId="691A0626"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266ACB07"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69FBA29B" w14:textId="77777777" w:rsidR="004B40F7" w:rsidRPr="007B7822" w:rsidRDefault="004B40F7" w:rsidP="004B40F7">
            <w:pPr>
              <w:spacing w:after="49" w:line="259" w:lineRule="auto"/>
              <w:rPr>
                <w:rFonts w:ascii="Calibri" w:eastAsia="Calibri" w:hAnsi="Calibri" w:cs="Calibri"/>
                <w:bCs/>
                <w:color w:val="555655"/>
                <w:sz w:val="21"/>
              </w:rPr>
            </w:pPr>
            <w:r w:rsidRPr="007B7822">
              <w:rPr>
                <w:rFonts w:ascii="Calibri" w:eastAsia="Calibri" w:hAnsi="Calibri" w:cs="Calibri"/>
                <w:bCs/>
                <w:color w:val="555655"/>
                <w:sz w:val="15"/>
              </w:rPr>
              <w:t>L’EES se conforme-t-il aux politiques publiques d’assurance qualité des formations ?</w:t>
            </w:r>
          </w:p>
          <w:p w14:paraId="759A170E" w14:textId="77777777" w:rsidR="004B40F7" w:rsidRPr="004B40F7" w:rsidRDefault="004B40F7" w:rsidP="004B40F7">
            <w:pPr>
              <w:spacing w:line="259" w:lineRule="auto"/>
              <w:rPr>
                <w:rFonts w:ascii="Calibri" w:eastAsia="Calibri" w:hAnsi="Calibri" w:cs="Calibri"/>
                <w:b/>
                <w:color w:val="555655"/>
                <w:sz w:val="21"/>
              </w:rPr>
            </w:pPr>
            <w:r w:rsidRPr="007B7822">
              <w:rPr>
                <w:rFonts w:ascii="Calibri" w:eastAsia="Calibri" w:hAnsi="Calibri" w:cs="Calibri"/>
                <w:bCs/>
                <w:color w:val="555655"/>
                <w:sz w:val="15"/>
              </w:rPr>
              <w:t>L’EES dispose-t-il d’un système de gestion et de processus de prise de décisions efficaces pour garantir l’assurance qualité de ses formations ?</w:t>
            </w:r>
          </w:p>
        </w:tc>
      </w:tr>
      <w:tr w:rsidR="004B40F7" w:rsidRPr="004B40F7" w14:paraId="35B5C8EB" w14:textId="77777777" w:rsidTr="003C1F9B">
        <w:trPr>
          <w:trHeight w:val="608"/>
        </w:trPr>
        <w:tc>
          <w:tcPr>
            <w:tcW w:w="2820" w:type="dxa"/>
            <w:vMerge w:val="restart"/>
            <w:tcBorders>
              <w:top w:val="single" w:sz="2" w:space="0" w:color="555655"/>
              <w:left w:val="single" w:sz="2" w:space="0" w:color="555655"/>
              <w:bottom w:val="single" w:sz="2" w:space="0" w:color="555655"/>
              <w:right w:val="single" w:sz="2" w:space="0" w:color="555655"/>
            </w:tcBorders>
            <w:vAlign w:val="center"/>
          </w:tcPr>
          <w:p w14:paraId="6F0A6F02"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5.2 Système de pilotage de la formation</w:t>
            </w:r>
          </w:p>
        </w:tc>
        <w:tc>
          <w:tcPr>
            <w:tcW w:w="6245" w:type="dxa"/>
            <w:tcBorders>
              <w:top w:val="single" w:sz="2" w:space="0" w:color="555655"/>
              <w:left w:val="single" w:sz="2" w:space="0" w:color="555655"/>
              <w:bottom w:val="single" w:sz="2" w:space="0" w:color="555655"/>
              <w:right w:val="single" w:sz="2" w:space="0" w:color="555655"/>
            </w:tcBorders>
          </w:tcPr>
          <w:p w14:paraId="7E51A10D"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1C9C5D58" w14:textId="77777777" w:rsidR="004B40F7" w:rsidRPr="007B7822" w:rsidRDefault="004B40F7" w:rsidP="004B40F7">
            <w:pPr>
              <w:spacing w:line="259" w:lineRule="auto"/>
              <w:rPr>
                <w:rFonts w:ascii="Calibri" w:eastAsia="Calibri" w:hAnsi="Calibri" w:cs="Calibri"/>
                <w:bCs/>
                <w:color w:val="555655"/>
                <w:sz w:val="21"/>
              </w:rPr>
            </w:pPr>
            <w:r w:rsidRPr="007B7822">
              <w:rPr>
                <w:rFonts w:ascii="Calibri" w:eastAsia="Calibri" w:hAnsi="Calibri" w:cs="Calibri"/>
                <w:bCs/>
                <w:color w:val="555655"/>
                <w:sz w:val="15"/>
              </w:rPr>
              <w:t>Politiques et procédures d’assurance qualité concernant la formation.</w:t>
            </w:r>
          </w:p>
        </w:tc>
      </w:tr>
      <w:tr w:rsidR="004B40F7" w:rsidRPr="004B40F7" w14:paraId="6007A5FC" w14:textId="77777777" w:rsidTr="003C1F9B">
        <w:trPr>
          <w:trHeight w:val="712"/>
        </w:trPr>
        <w:tc>
          <w:tcPr>
            <w:tcW w:w="0" w:type="auto"/>
            <w:vMerge/>
            <w:tcBorders>
              <w:top w:val="nil"/>
              <w:left w:val="single" w:sz="2" w:space="0" w:color="555655"/>
              <w:bottom w:val="single" w:sz="2" w:space="0" w:color="555655"/>
              <w:right w:val="single" w:sz="2" w:space="0" w:color="555655"/>
            </w:tcBorders>
          </w:tcPr>
          <w:p w14:paraId="19E9B1F2"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355C4AD6"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30AFB6E1" w14:textId="77777777" w:rsidR="004B40F7" w:rsidRPr="00AA66AD" w:rsidRDefault="004B40F7" w:rsidP="004B40F7">
            <w:pPr>
              <w:spacing w:line="259" w:lineRule="auto"/>
              <w:rPr>
                <w:rFonts w:ascii="Calibri" w:eastAsia="Calibri" w:hAnsi="Calibri" w:cs="Calibri"/>
                <w:bCs/>
                <w:color w:val="555655"/>
                <w:sz w:val="21"/>
              </w:rPr>
            </w:pPr>
            <w:r w:rsidRPr="00AA66AD">
              <w:rPr>
                <w:rFonts w:ascii="Calibri" w:eastAsia="Calibri" w:hAnsi="Calibri" w:cs="Calibri"/>
                <w:bCs/>
                <w:color w:val="555655"/>
                <w:sz w:val="15"/>
              </w:rPr>
              <w:t>La formation participe-t-elle de façon satisfaisante aux processus d’assurance qualité de l’EES, et met-elle en œuvre les résultats attendus ?</w:t>
            </w:r>
          </w:p>
        </w:tc>
      </w:tr>
      <w:tr w:rsidR="004B40F7" w:rsidRPr="004B40F7" w14:paraId="20E0BD00" w14:textId="77777777" w:rsidTr="003C1F9B">
        <w:tblPrEx>
          <w:tblCellMar>
            <w:right w:w="43" w:type="dxa"/>
          </w:tblCellMar>
        </w:tblPrEx>
        <w:trPr>
          <w:trHeight w:val="712"/>
        </w:trPr>
        <w:tc>
          <w:tcPr>
            <w:tcW w:w="2820" w:type="dxa"/>
            <w:vMerge w:val="restart"/>
            <w:tcBorders>
              <w:top w:val="single" w:sz="2" w:space="0" w:color="555655"/>
              <w:left w:val="single" w:sz="2" w:space="0" w:color="555655"/>
              <w:bottom w:val="single" w:sz="2" w:space="0" w:color="555655"/>
              <w:right w:val="single" w:sz="2" w:space="0" w:color="555655"/>
            </w:tcBorders>
            <w:vAlign w:val="center"/>
          </w:tcPr>
          <w:p w14:paraId="28B4BA13"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5.3 Révision et développement de la formation</w:t>
            </w:r>
          </w:p>
        </w:tc>
        <w:tc>
          <w:tcPr>
            <w:tcW w:w="6245" w:type="dxa"/>
            <w:tcBorders>
              <w:top w:val="single" w:sz="2" w:space="0" w:color="555655"/>
              <w:left w:val="single" w:sz="2" w:space="0" w:color="555655"/>
              <w:bottom w:val="single" w:sz="2" w:space="0" w:color="555655"/>
              <w:right w:val="single" w:sz="2" w:space="0" w:color="555655"/>
            </w:tcBorders>
          </w:tcPr>
          <w:p w14:paraId="38532F8A"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6A53834B" w14:textId="77777777" w:rsidR="004B40F7" w:rsidRPr="00AA66AD" w:rsidRDefault="004B40F7" w:rsidP="004B40F7">
            <w:pPr>
              <w:spacing w:line="259" w:lineRule="auto"/>
              <w:rPr>
                <w:rFonts w:ascii="Calibri" w:eastAsia="Calibri" w:hAnsi="Calibri" w:cs="Calibri"/>
                <w:bCs/>
                <w:color w:val="555655"/>
                <w:sz w:val="21"/>
              </w:rPr>
            </w:pPr>
            <w:r w:rsidRPr="00AA66AD">
              <w:rPr>
                <w:rFonts w:ascii="Calibri" w:eastAsia="Calibri" w:hAnsi="Calibri" w:cs="Calibri"/>
                <w:bCs/>
                <w:color w:val="555655"/>
                <w:sz w:val="15"/>
              </w:rPr>
              <w:t>Politiques et procédures de révision et de développement de la formation. Résultats de la plus récente révision de la formation.</w:t>
            </w:r>
          </w:p>
        </w:tc>
      </w:tr>
      <w:tr w:rsidR="004B40F7" w:rsidRPr="004B40F7" w14:paraId="6294B316" w14:textId="77777777" w:rsidTr="003C1F9B">
        <w:tblPrEx>
          <w:tblCellMar>
            <w:right w:w="43" w:type="dxa"/>
          </w:tblCellMar>
        </w:tblPrEx>
        <w:trPr>
          <w:trHeight w:val="1092"/>
        </w:trPr>
        <w:tc>
          <w:tcPr>
            <w:tcW w:w="0" w:type="auto"/>
            <w:vMerge/>
            <w:tcBorders>
              <w:top w:val="nil"/>
              <w:left w:val="single" w:sz="2" w:space="0" w:color="555655"/>
              <w:bottom w:val="single" w:sz="2" w:space="0" w:color="555655"/>
              <w:right w:val="single" w:sz="2" w:space="0" w:color="555655"/>
            </w:tcBorders>
          </w:tcPr>
          <w:p w14:paraId="68BF59ED"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0FE9CA64"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17062A62" w14:textId="77777777" w:rsidR="004B40F7" w:rsidRPr="00AA66AD" w:rsidRDefault="004B40F7" w:rsidP="004B40F7">
            <w:pPr>
              <w:spacing w:line="259" w:lineRule="auto"/>
              <w:rPr>
                <w:rFonts w:ascii="Calibri" w:eastAsia="Calibri" w:hAnsi="Calibri" w:cs="Calibri"/>
                <w:bCs/>
                <w:color w:val="555655"/>
                <w:sz w:val="21"/>
              </w:rPr>
            </w:pPr>
            <w:r w:rsidRPr="00AA66AD">
              <w:rPr>
                <w:rFonts w:ascii="Calibri" w:eastAsia="Calibri" w:hAnsi="Calibri" w:cs="Calibri"/>
                <w:bCs/>
                <w:color w:val="555655"/>
                <w:sz w:val="15"/>
              </w:rPr>
              <w:t>La formation passe-t-elle périodiquement en revue ses besoins et objectifs, processus d’apprentissage, ressources, résultats et système de pilotage, afin de garantir leur pertinence et leur efficacité ? Encourage-t-elle l’amélioration de l’efficacité des processus de pilotage de la formation et des résultats associés ?</w:t>
            </w:r>
          </w:p>
        </w:tc>
      </w:tr>
      <w:tr w:rsidR="004B40F7" w:rsidRPr="004B40F7" w14:paraId="618634AA" w14:textId="77777777" w:rsidTr="003C1F9B">
        <w:tblPrEx>
          <w:tblCellMar>
            <w:right w:w="43" w:type="dxa"/>
          </w:tblCellMar>
        </w:tblPrEx>
        <w:trPr>
          <w:trHeight w:val="1452"/>
        </w:trPr>
        <w:tc>
          <w:tcPr>
            <w:tcW w:w="2820" w:type="dxa"/>
            <w:vMerge w:val="restart"/>
            <w:tcBorders>
              <w:top w:val="single" w:sz="2" w:space="0" w:color="555655"/>
              <w:left w:val="single" w:sz="2" w:space="0" w:color="555655"/>
              <w:bottom w:val="single" w:sz="2" w:space="0" w:color="555655"/>
              <w:right w:val="single" w:sz="2" w:space="0" w:color="555655"/>
            </w:tcBorders>
            <w:vAlign w:val="center"/>
          </w:tcPr>
          <w:p w14:paraId="7DA749C0"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5.4 Retours des étudiants sur le processus d’apprentissage</w:t>
            </w:r>
          </w:p>
        </w:tc>
        <w:tc>
          <w:tcPr>
            <w:tcW w:w="6245" w:type="dxa"/>
            <w:tcBorders>
              <w:top w:val="single" w:sz="2" w:space="0" w:color="555655"/>
              <w:left w:val="single" w:sz="2" w:space="0" w:color="555655"/>
              <w:bottom w:val="single" w:sz="2" w:space="0" w:color="555655"/>
              <w:right w:val="single" w:sz="2" w:space="0" w:color="555655"/>
            </w:tcBorders>
          </w:tcPr>
          <w:p w14:paraId="15C54722"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4C46AAE8" w14:textId="77777777" w:rsidR="004B40F7" w:rsidRPr="00AA66AD" w:rsidRDefault="004B40F7" w:rsidP="004B40F7">
            <w:pPr>
              <w:spacing w:after="49" w:line="259" w:lineRule="auto"/>
              <w:rPr>
                <w:rFonts w:ascii="Calibri" w:eastAsia="Calibri" w:hAnsi="Calibri" w:cs="Calibri"/>
                <w:bCs/>
                <w:color w:val="555655"/>
                <w:sz w:val="21"/>
              </w:rPr>
            </w:pPr>
            <w:r w:rsidRPr="00AA66AD">
              <w:rPr>
                <w:rFonts w:ascii="Calibri" w:eastAsia="Calibri" w:hAnsi="Calibri" w:cs="Calibri"/>
                <w:bCs/>
                <w:color w:val="555655"/>
                <w:sz w:val="15"/>
              </w:rPr>
              <w:t>Opinion des étudiants sur la qualité des cours/module.</w:t>
            </w:r>
          </w:p>
          <w:p w14:paraId="4E177207" w14:textId="77777777" w:rsidR="004B40F7" w:rsidRPr="00AA66AD" w:rsidRDefault="004B40F7" w:rsidP="004B40F7">
            <w:pPr>
              <w:spacing w:after="49" w:line="259" w:lineRule="auto"/>
              <w:rPr>
                <w:rFonts w:ascii="Calibri" w:eastAsia="Calibri" w:hAnsi="Calibri" w:cs="Calibri"/>
                <w:bCs/>
                <w:color w:val="555655"/>
                <w:sz w:val="21"/>
              </w:rPr>
            </w:pPr>
            <w:r w:rsidRPr="00AA66AD">
              <w:rPr>
                <w:rFonts w:ascii="Calibri" w:eastAsia="Calibri" w:hAnsi="Calibri" w:cs="Calibri"/>
                <w:bCs/>
                <w:color w:val="555655"/>
                <w:sz w:val="15"/>
              </w:rPr>
              <w:t>Opinion des étudiants sur les périodes de formation en dehors de l’institution.</w:t>
            </w:r>
          </w:p>
          <w:p w14:paraId="747E5806" w14:textId="77777777" w:rsidR="004B40F7" w:rsidRPr="00AA66AD" w:rsidRDefault="004B40F7" w:rsidP="004B40F7">
            <w:pPr>
              <w:spacing w:after="49" w:line="259" w:lineRule="auto"/>
              <w:rPr>
                <w:rFonts w:ascii="Calibri" w:eastAsia="Calibri" w:hAnsi="Calibri" w:cs="Calibri"/>
                <w:bCs/>
                <w:color w:val="555655"/>
                <w:sz w:val="21"/>
              </w:rPr>
            </w:pPr>
            <w:r w:rsidRPr="00AA66AD">
              <w:rPr>
                <w:rFonts w:ascii="Calibri" w:eastAsia="Calibri" w:hAnsi="Calibri" w:cs="Calibri"/>
                <w:bCs/>
                <w:color w:val="555655"/>
                <w:sz w:val="15"/>
              </w:rPr>
              <w:t>Opinion des étudiants sur les périodes de mobilité internationale.</w:t>
            </w:r>
          </w:p>
          <w:p w14:paraId="2E03C415" w14:textId="77777777" w:rsidR="004B40F7" w:rsidRPr="004B40F7" w:rsidRDefault="004B40F7" w:rsidP="004B40F7">
            <w:pPr>
              <w:spacing w:line="259" w:lineRule="auto"/>
              <w:jc w:val="both"/>
              <w:rPr>
                <w:rFonts w:ascii="Calibri" w:eastAsia="Calibri" w:hAnsi="Calibri" w:cs="Calibri"/>
                <w:b/>
                <w:color w:val="555655"/>
                <w:sz w:val="21"/>
              </w:rPr>
            </w:pPr>
            <w:r w:rsidRPr="00AA66AD">
              <w:rPr>
                <w:rFonts w:ascii="Calibri" w:eastAsia="Calibri" w:hAnsi="Calibri" w:cs="Calibri"/>
                <w:bCs/>
                <w:color w:val="555655"/>
                <w:sz w:val="15"/>
              </w:rPr>
              <w:t>Opinion des étudiants de dernière année sur les processus d’apprentissage et les services de soutien.</w:t>
            </w:r>
          </w:p>
        </w:tc>
      </w:tr>
      <w:tr w:rsidR="004B40F7" w:rsidRPr="004B40F7" w14:paraId="1CA0537F" w14:textId="77777777" w:rsidTr="003C1F9B">
        <w:tblPrEx>
          <w:tblCellMar>
            <w:right w:w="43" w:type="dxa"/>
          </w:tblCellMar>
        </w:tblPrEx>
        <w:trPr>
          <w:trHeight w:val="1339"/>
        </w:trPr>
        <w:tc>
          <w:tcPr>
            <w:tcW w:w="0" w:type="auto"/>
            <w:vMerge/>
            <w:tcBorders>
              <w:top w:val="nil"/>
              <w:left w:val="single" w:sz="2" w:space="0" w:color="555655"/>
              <w:bottom w:val="single" w:sz="2" w:space="0" w:color="555655"/>
              <w:right w:val="single" w:sz="2" w:space="0" w:color="555655"/>
            </w:tcBorders>
          </w:tcPr>
          <w:p w14:paraId="749F5232"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1F212C58"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56AF0043" w14:textId="77777777" w:rsidR="004B40F7" w:rsidRPr="00AA66AD" w:rsidRDefault="004B40F7" w:rsidP="004B40F7">
            <w:pPr>
              <w:spacing w:after="57" w:line="249" w:lineRule="auto"/>
              <w:rPr>
                <w:rFonts w:ascii="Calibri" w:eastAsia="Calibri" w:hAnsi="Calibri" w:cs="Calibri"/>
                <w:bCs/>
                <w:color w:val="555655"/>
                <w:sz w:val="21"/>
              </w:rPr>
            </w:pPr>
            <w:r w:rsidRPr="00AA66AD">
              <w:rPr>
                <w:rFonts w:ascii="Calibri" w:eastAsia="Calibri" w:hAnsi="Calibri" w:cs="Calibri"/>
                <w:bCs/>
                <w:color w:val="555655"/>
                <w:sz w:val="15"/>
              </w:rPr>
              <w:t>Le suivi de l’opinion des étudiants est-il bien adapté, notamment en termes de complétude des informations et de taux de réponse ?</w:t>
            </w:r>
          </w:p>
          <w:p w14:paraId="12A9F172" w14:textId="77777777" w:rsidR="004B40F7" w:rsidRPr="004B40F7" w:rsidRDefault="004B40F7" w:rsidP="004B40F7">
            <w:pPr>
              <w:spacing w:line="259" w:lineRule="auto"/>
              <w:ind w:right="77"/>
              <w:rPr>
                <w:rFonts w:ascii="Calibri" w:eastAsia="Calibri" w:hAnsi="Calibri" w:cs="Calibri"/>
                <w:b/>
                <w:color w:val="555655"/>
                <w:sz w:val="21"/>
              </w:rPr>
            </w:pPr>
            <w:r w:rsidRPr="00AA66AD">
              <w:rPr>
                <w:rFonts w:ascii="Calibri" w:eastAsia="Calibri" w:hAnsi="Calibri" w:cs="Calibri"/>
                <w:bCs/>
                <w:color w:val="555655"/>
                <w:sz w:val="15"/>
              </w:rPr>
              <w:t>Les résultats du suivi de l’opinion des étudiants sur le processus d’apprentissage fournit-il la preuve de l’adéquation et de l’efficacité du processus d’apprentissage et des services de soutien aux étudiants ?</w:t>
            </w:r>
          </w:p>
        </w:tc>
      </w:tr>
    </w:tbl>
    <w:p w14:paraId="40733851" w14:textId="77777777" w:rsidR="001F1184" w:rsidRDefault="001F1184">
      <w:r>
        <w:br w:type="page"/>
      </w:r>
    </w:p>
    <w:tbl>
      <w:tblPr>
        <w:tblStyle w:val="TableGrid"/>
        <w:tblW w:w="9065" w:type="dxa"/>
        <w:tblInd w:w="423" w:type="dxa"/>
        <w:tblCellMar>
          <w:top w:w="60" w:type="dxa"/>
          <w:left w:w="80" w:type="dxa"/>
          <w:right w:w="43" w:type="dxa"/>
        </w:tblCellMar>
        <w:tblLook w:val="04A0" w:firstRow="1" w:lastRow="0" w:firstColumn="1" w:lastColumn="0" w:noHBand="0" w:noVBand="1"/>
      </w:tblPr>
      <w:tblGrid>
        <w:gridCol w:w="2820"/>
        <w:gridCol w:w="6245"/>
      </w:tblGrid>
      <w:tr w:rsidR="004B40F7" w:rsidRPr="004B40F7" w14:paraId="24006F49" w14:textId="77777777" w:rsidTr="003C1F9B">
        <w:trPr>
          <w:trHeight w:val="1889"/>
        </w:trPr>
        <w:tc>
          <w:tcPr>
            <w:tcW w:w="2820" w:type="dxa"/>
            <w:vMerge w:val="restart"/>
            <w:tcBorders>
              <w:top w:val="single" w:sz="2" w:space="0" w:color="555655"/>
              <w:left w:val="single" w:sz="2" w:space="0" w:color="555655"/>
              <w:bottom w:val="single" w:sz="2" w:space="0" w:color="555655"/>
              <w:right w:val="single" w:sz="2" w:space="0" w:color="555655"/>
            </w:tcBorders>
            <w:vAlign w:val="center"/>
          </w:tcPr>
          <w:p w14:paraId="4DAFE1A3" w14:textId="29B5D9DA"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lastRenderedPageBreak/>
              <w:t>5.5 Embauche des ingénieurs diplômés</w:t>
            </w:r>
          </w:p>
        </w:tc>
        <w:tc>
          <w:tcPr>
            <w:tcW w:w="6245" w:type="dxa"/>
            <w:tcBorders>
              <w:top w:val="single" w:sz="2" w:space="0" w:color="555655"/>
              <w:left w:val="single" w:sz="2" w:space="0" w:color="555655"/>
              <w:bottom w:val="single" w:sz="2" w:space="0" w:color="555655"/>
              <w:right w:val="single" w:sz="2" w:space="0" w:color="555655"/>
            </w:tcBorders>
          </w:tcPr>
          <w:p w14:paraId="6F701463"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39CB0291" w14:textId="77777777" w:rsidR="004B40F7" w:rsidRPr="001F1184" w:rsidRDefault="004B40F7" w:rsidP="004B40F7">
            <w:pPr>
              <w:spacing w:after="49" w:line="259" w:lineRule="auto"/>
              <w:rPr>
                <w:rFonts w:ascii="Calibri" w:eastAsia="Calibri" w:hAnsi="Calibri" w:cs="Calibri"/>
                <w:bCs/>
                <w:color w:val="555655"/>
                <w:sz w:val="21"/>
              </w:rPr>
            </w:pPr>
            <w:r w:rsidRPr="001F1184">
              <w:rPr>
                <w:rFonts w:ascii="Calibri" w:eastAsia="Calibri" w:hAnsi="Calibri" w:cs="Calibri"/>
                <w:bCs/>
                <w:color w:val="555655"/>
                <w:sz w:val="15"/>
              </w:rPr>
              <w:t>Résultats du suivi de l’embauche des diplômés.</w:t>
            </w:r>
          </w:p>
          <w:p w14:paraId="3C2E3E08" w14:textId="0E7F5189" w:rsidR="004B40F7" w:rsidRPr="001F1184" w:rsidRDefault="004B40F7" w:rsidP="004B40F7">
            <w:pPr>
              <w:spacing w:after="57" w:line="249" w:lineRule="auto"/>
              <w:rPr>
                <w:rFonts w:ascii="Calibri" w:eastAsia="Calibri" w:hAnsi="Calibri" w:cs="Calibri"/>
                <w:bCs/>
                <w:color w:val="555655"/>
                <w:sz w:val="21"/>
              </w:rPr>
            </w:pPr>
            <w:r w:rsidRPr="001F1184">
              <w:rPr>
                <w:rFonts w:ascii="Calibri" w:eastAsia="Calibri" w:hAnsi="Calibri" w:cs="Calibri"/>
                <w:bCs/>
                <w:color w:val="555655"/>
                <w:sz w:val="15"/>
              </w:rPr>
              <w:t>Résultats du suivi de la progression des étudiants vers des diplômes d’ingénieur (grade de Master) (pour les licences en ingénierie (en Suisse</w:t>
            </w:r>
            <w:r w:rsidR="00AA66AD" w:rsidRPr="001F1184">
              <w:rPr>
                <w:rFonts w:ascii="Calibri" w:eastAsia="Calibri" w:hAnsi="Calibri" w:cs="Calibri"/>
                <w:bCs/>
                <w:color w:val="555655"/>
                <w:sz w:val="15"/>
              </w:rPr>
              <w:t xml:space="preserve"> </w:t>
            </w:r>
            <w:r w:rsidRPr="001F1184">
              <w:rPr>
                <w:rFonts w:ascii="Calibri" w:eastAsia="Calibri" w:hAnsi="Calibri" w:cs="Calibri"/>
                <w:bCs/>
                <w:color w:val="555655"/>
                <w:sz w:val="15"/>
              </w:rPr>
              <w:t>: degrés de Bachelor uniquement).</w:t>
            </w:r>
          </w:p>
          <w:p w14:paraId="550E8C13" w14:textId="77777777" w:rsidR="004B40F7" w:rsidRPr="001F1184" w:rsidRDefault="004B40F7" w:rsidP="004B40F7">
            <w:pPr>
              <w:spacing w:after="57" w:line="249" w:lineRule="auto"/>
              <w:rPr>
                <w:rFonts w:ascii="Calibri" w:eastAsia="Calibri" w:hAnsi="Calibri" w:cs="Calibri"/>
                <w:bCs/>
                <w:color w:val="555655"/>
                <w:sz w:val="21"/>
              </w:rPr>
            </w:pPr>
            <w:r w:rsidRPr="001F1184">
              <w:rPr>
                <w:rFonts w:ascii="Calibri" w:eastAsia="Calibri" w:hAnsi="Calibri" w:cs="Calibri"/>
                <w:bCs/>
                <w:color w:val="555655"/>
                <w:sz w:val="15"/>
              </w:rPr>
              <w:t>Résultats du suivi de la progression des étudiants vers des études doctorales (pour les diplômes d’ingénieur (grade de Master) uniquement).</w:t>
            </w:r>
          </w:p>
          <w:p w14:paraId="2A20A692" w14:textId="77777777" w:rsidR="004B40F7" w:rsidRPr="001F1184" w:rsidRDefault="004B40F7" w:rsidP="004B40F7">
            <w:pPr>
              <w:spacing w:after="49" w:line="259" w:lineRule="auto"/>
              <w:rPr>
                <w:rFonts w:ascii="Calibri" w:eastAsia="Calibri" w:hAnsi="Calibri" w:cs="Calibri"/>
                <w:bCs/>
                <w:color w:val="555655"/>
                <w:sz w:val="21"/>
              </w:rPr>
            </w:pPr>
            <w:r w:rsidRPr="001F1184">
              <w:rPr>
                <w:rFonts w:ascii="Calibri" w:eastAsia="Calibri" w:hAnsi="Calibri" w:cs="Calibri"/>
                <w:bCs/>
                <w:color w:val="555655"/>
                <w:sz w:val="15"/>
              </w:rPr>
              <w:t>Résultats du suivi de l’opinion des diplômés embauchés sur la formation reçue.</w:t>
            </w:r>
          </w:p>
          <w:p w14:paraId="41A2F792" w14:textId="77777777" w:rsidR="004B40F7" w:rsidRPr="004B40F7" w:rsidRDefault="004B40F7" w:rsidP="004B40F7">
            <w:pPr>
              <w:spacing w:line="259" w:lineRule="auto"/>
              <w:rPr>
                <w:rFonts w:ascii="Calibri" w:eastAsia="Calibri" w:hAnsi="Calibri" w:cs="Calibri"/>
                <w:b/>
                <w:color w:val="555655"/>
                <w:sz w:val="21"/>
              </w:rPr>
            </w:pPr>
            <w:r w:rsidRPr="001F1184">
              <w:rPr>
                <w:rFonts w:ascii="Calibri" w:eastAsia="Calibri" w:hAnsi="Calibri" w:cs="Calibri"/>
                <w:bCs/>
                <w:color w:val="555655"/>
                <w:sz w:val="15"/>
              </w:rPr>
              <w:t>Résultats du suivi de l’opinion des employeurs sur la formation reçue par les diplômés.</w:t>
            </w:r>
          </w:p>
        </w:tc>
      </w:tr>
      <w:tr w:rsidR="004B40F7" w:rsidRPr="004B40F7" w14:paraId="317809EB" w14:textId="77777777" w:rsidTr="003C1F9B">
        <w:trPr>
          <w:trHeight w:val="1339"/>
        </w:trPr>
        <w:tc>
          <w:tcPr>
            <w:tcW w:w="0" w:type="auto"/>
            <w:vMerge/>
            <w:tcBorders>
              <w:top w:val="nil"/>
              <w:left w:val="single" w:sz="2" w:space="0" w:color="555655"/>
              <w:bottom w:val="single" w:sz="2" w:space="0" w:color="555655"/>
              <w:right w:val="single" w:sz="2" w:space="0" w:color="555655"/>
            </w:tcBorders>
          </w:tcPr>
          <w:p w14:paraId="3FBA15CB"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60E2D127"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787EBF26" w14:textId="77777777" w:rsidR="004B40F7" w:rsidRPr="001F1184" w:rsidRDefault="004B40F7" w:rsidP="004B40F7">
            <w:pPr>
              <w:spacing w:line="259" w:lineRule="auto"/>
              <w:ind w:right="76"/>
              <w:rPr>
                <w:rFonts w:ascii="Calibri" w:eastAsia="Calibri" w:hAnsi="Calibri" w:cs="Calibri"/>
                <w:bCs/>
                <w:color w:val="555655"/>
                <w:sz w:val="21"/>
              </w:rPr>
            </w:pPr>
            <w:r w:rsidRPr="001F1184">
              <w:rPr>
                <w:rFonts w:ascii="Calibri" w:eastAsia="Calibri" w:hAnsi="Calibri" w:cs="Calibri"/>
                <w:bCs/>
                <w:color w:val="555655"/>
                <w:sz w:val="15"/>
              </w:rPr>
              <w:t>Les résultats du suivi de l’embauche des ingénieurs diplômés et de l’opinion des diplômés et des employeurs sur leur formation fournissent-ils la preuve de la valeur du diplôme et de l’adéquation des objectifs et acquis de formation aux besoins en formation du marché du travail ?</w:t>
            </w:r>
          </w:p>
        </w:tc>
      </w:tr>
      <w:tr w:rsidR="004B40F7" w:rsidRPr="004B40F7" w14:paraId="536110EC" w14:textId="77777777" w:rsidTr="003C1F9B">
        <w:trPr>
          <w:trHeight w:val="522"/>
        </w:trPr>
        <w:tc>
          <w:tcPr>
            <w:tcW w:w="2820" w:type="dxa"/>
            <w:vMerge w:val="restart"/>
            <w:tcBorders>
              <w:top w:val="single" w:sz="2" w:space="0" w:color="555655"/>
              <w:left w:val="single" w:sz="2" w:space="0" w:color="555655"/>
              <w:bottom w:val="single" w:sz="2" w:space="0" w:color="555655"/>
              <w:right w:val="single" w:sz="2" w:space="0" w:color="555655"/>
            </w:tcBorders>
            <w:vAlign w:val="center"/>
          </w:tcPr>
          <w:p w14:paraId="6521529D" w14:textId="77777777" w:rsidR="004B40F7" w:rsidRPr="004B40F7" w:rsidRDefault="004B40F7" w:rsidP="004B40F7">
            <w:pPr>
              <w:spacing w:line="259" w:lineRule="auto"/>
              <w:rPr>
                <w:rFonts w:ascii="Calibri" w:eastAsia="Calibri" w:hAnsi="Calibri" w:cs="Calibri"/>
                <w:b/>
                <w:color w:val="555655"/>
                <w:sz w:val="21"/>
              </w:rPr>
            </w:pPr>
            <w:r w:rsidRPr="004B40F7">
              <w:rPr>
                <w:rFonts w:ascii="Calibri" w:eastAsia="Calibri" w:hAnsi="Calibri" w:cs="Calibri"/>
                <w:b/>
                <w:color w:val="555655"/>
                <w:sz w:val="15"/>
              </w:rPr>
              <w:t>5.6 Accès public aux informations</w:t>
            </w:r>
          </w:p>
        </w:tc>
        <w:tc>
          <w:tcPr>
            <w:tcW w:w="6245" w:type="dxa"/>
            <w:tcBorders>
              <w:top w:val="single" w:sz="2" w:space="0" w:color="555655"/>
              <w:left w:val="single" w:sz="2" w:space="0" w:color="555655"/>
              <w:bottom w:val="single" w:sz="2" w:space="0" w:color="555655"/>
              <w:right w:val="single" w:sz="2" w:space="0" w:color="555655"/>
            </w:tcBorders>
          </w:tcPr>
          <w:p w14:paraId="4A6B2D7F"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Documents à fournir</w:t>
            </w:r>
          </w:p>
          <w:p w14:paraId="0CBD4086" w14:textId="77777777" w:rsidR="004B40F7" w:rsidRPr="001F1184" w:rsidRDefault="004B40F7" w:rsidP="004B40F7">
            <w:pPr>
              <w:spacing w:line="259" w:lineRule="auto"/>
              <w:rPr>
                <w:rFonts w:ascii="Calibri" w:eastAsia="Calibri" w:hAnsi="Calibri" w:cs="Calibri"/>
                <w:bCs/>
                <w:color w:val="555655"/>
                <w:sz w:val="21"/>
              </w:rPr>
            </w:pPr>
            <w:r w:rsidRPr="001F1184">
              <w:rPr>
                <w:rFonts w:ascii="Calibri" w:eastAsia="Calibri" w:hAnsi="Calibri" w:cs="Calibri"/>
                <w:bCs/>
                <w:color w:val="555655"/>
                <w:sz w:val="15"/>
              </w:rPr>
              <w:t>Documents relatifs à l’assurance qualité des formations, rendus publics.</w:t>
            </w:r>
          </w:p>
        </w:tc>
      </w:tr>
      <w:tr w:rsidR="004B40F7" w:rsidRPr="004B40F7" w14:paraId="1D567D87" w14:textId="77777777" w:rsidTr="003C1F9B">
        <w:trPr>
          <w:trHeight w:val="902"/>
        </w:trPr>
        <w:tc>
          <w:tcPr>
            <w:tcW w:w="0" w:type="auto"/>
            <w:vMerge/>
            <w:tcBorders>
              <w:top w:val="nil"/>
              <w:left w:val="single" w:sz="2" w:space="0" w:color="555655"/>
              <w:bottom w:val="single" w:sz="2" w:space="0" w:color="555655"/>
              <w:right w:val="single" w:sz="2" w:space="0" w:color="555655"/>
            </w:tcBorders>
          </w:tcPr>
          <w:p w14:paraId="4DD30912" w14:textId="77777777" w:rsidR="004B40F7" w:rsidRPr="004B40F7" w:rsidRDefault="004B40F7" w:rsidP="004B40F7">
            <w:pPr>
              <w:spacing w:line="259" w:lineRule="auto"/>
              <w:rPr>
                <w:rFonts w:ascii="Calibri" w:eastAsia="Calibri" w:hAnsi="Calibri" w:cs="Calibri"/>
                <w:b/>
                <w:color w:val="555655"/>
                <w:sz w:val="21"/>
              </w:rPr>
            </w:pPr>
          </w:p>
        </w:tc>
        <w:tc>
          <w:tcPr>
            <w:tcW w:w="6245" w:type="dxa"/>
            <w:tcBorders>
              <w:top w:val="single" w:sz="2" w:space="0" w:color="555655"/>
              <w:left w:val="single" w:sz="2" w:space="0" w:color="555655"/>
              <w:bottom w:val="single" w:sz="2" w:space="0" w:color="555655"/>
              <w:right w:val="single" w:sz="2" w:space="0" w:color="555655"/>
            </w:tcBorders>
          </w:tcPr>
          <w:p w14:paraId="340FE17D" w14:textId="77777777" w:rsidR="004B40F7" w:rsidRPr="004B40F7" w:rsidRDefault="004B40F7" w:rsidP="004B40F7">
            <w:pPr>
              <w:spacing w:after="49" w:line="259" w:lineRule="auto"/>
              <w:rPr>
                <w:rFonts w:ascii="Calibri" w:eastAsia="Calibri" w:hAnsi="Calibri" w:cs="Calibri"/>
                <w:b/>
                <w:color w:val="555655"/>
                <w:sz w:val="21"/>
              </w:rPr>
            </w:pPr>
            <w:r w:rsidRPr="004B40F7">
              <w:rPr>
                <w:rFonts w:ascii="Calibri" w:eastAsia="Calibri" w:hAnsi="Calibri" w:cs="Calibri"/>
                <w:b/>
                <w:color w:val="555655"/>
                <w:sz w:val="15"/>
              </w:rPr>
              <w:t>Questions à se poser</w:t>
            </w:r>
          </w:p>
          <w:p w14:paraId="604A4C1A" w14:textId="77777777" w:rsidR="004B40F7" w:rsidRPr="001F1184" w:rsidRDefault="004B40F7" w:rsidP="004B40F7">
            <w:pPr>
              <w:spacing w:line="259" w:lineRule="auto"/>
              <w:rPr>
                <w:rFonts w:ascii="Calibri" w:eastAsia="Calibri" w:hAnsi="Calibri" w:cs="Calibri"/>
                <w:bCs/>
                <w:color w:val="555655"/>
                <w:sz w:val="21"/>
              </w:rPr>
            </w:pPr>
            <w:r w:rsidRPr="001F1184">
              <w:rPr>
                <w:rFonts w:ascii="Calibri" w:eastAsia="Calibri" w:hAnsi="Calibri" w:cs="Calibri"/>
                <w:bCs/>
                <w:color w:val="555655"/>
                <w:sz w:val="15"/>
              </w:rPr>
              <w:t>La formation rend-elle public les informations complètes, quantitatives et qualitatives, tenues à jour, et faciles d’accès, concernant ses objectifs et processus d’apprentissage, ressources, résultats et système de pilotage ?</w:t>
            </w:r>
          </w:p>
        </w:tc>
      </w:tr>
    </w:tbl>
    <w:p w14:paraId="0751E192" w14:textId="0E2FD39D" w:rsidR="0001652C" w:rsidRDefault="0001652C" w:rsidP="004B40F7">
      <w:pPr>
        <w:rPr>
          <w:rFonts w:eastAsia="HG Mincho Light J" w:cs="Arial"/>
          <w:color w:val="00B050"/>
          <w:sz w:val="16"/>
          <w:szCs w:val="16"/>
        </w:rPr>
      </w:pPr>
    </w:p>
    <w:p w14:paraId="5BD5DD2A" w14:textId="77777777" w:rsidR="0001652C" w:rsidRDefault="0001652C">
      <w:pPr>
        <w:rPr>
          <w:rFonts w:eastAsia="HG Mincho Light J" w:cs="Arial"/>
          <w:color w:val="00B050"/>
          <w:sz w:val="16"/>
          <w:szCs w:val="16"/>
        </w:rPr>
      </w:pPr>
      <w:r>
        <w:rPr>
          <w:rFonts w:eastAsia="HG Mincho Light J" w:cs="Arial"/>
          <w:color w:val="00B050"/>
          <w:sz w:val="16"/>
          <w:szCs w:val="16"/>
        </w:rPr>
        <w:br w:type="page"/>
      </w:r>
    </w:p>
    <w:p w14:paraId="48981A25" w14:textId="00F0A489" w:rsidR="000E64A2" w:rsidRDefault="000E64A2" w:rsidP="004B40F7">
      <w:pPr>
        <w:rPr>
          <w:rFonts w:ascii="Times New Roman" w:eastAsia="HG Mincho Light J" w:hAnsi="Times New Roman" w:cs="Times New Roman"/>
          <w:color w:val="00B050"/>
          <w:sz w:val="22"/>
          <w:szCs w:val="22"/>
        </w:rPr>
      </w:pPr>
    </w:p>
    <w:p w14:paraId="6D1AD6C3" w14:textId="7E615791" w:rsidR="007A25F9" w:rsidRDefault="007A25F9" w:rsidP="007A25F9">
      <w:pPr>
        <w:pStyle w:val="Paragraphedeliste"/>
        <w:ind w:left="360"/>
        <w:jc w:val="center"/>
        <w:rPr>
          <w:rFonts w:eastAsia="HG Mincho Light J" w:cs="Arial"/>
        </w:rPr>
      </w:pPr>
      <w:r w:rsidRPr="0039296B">
        <w:rPr>
          <w:rFonts w:eastAsia="HG Mincho Light J" w:cs="Arial"/>
        </w:rPr>
        <w:t xml:space="preserve">Annexe </w:t>
      </w:r>
      <w:r>
        <w:rPr>
          <w:rFonts w:eastAsia="HG Mincho Light J" w:cs="Arial"/>
        </w:rPr>
        <w:t>2</w:t>
      </w:r>
      <w:r w:rsidRPr="0039296B">
        <w:rPr>
          <w:rFonts w:eastAsia="HG Mincho Light J" w:cs="Arial"/>
        </w:rPr>
        <w:t xml:space="preserve"> – </w:t>
      </w:r>
      <w:r w:rsidR="00D67BDC">
        <w:rPr>
          <w:rFonts w:eastAsia="HG Mincho Light J" w:cs="Arial"/>
        </w:rPr>
        <w:t>Les d</w:t>
      </w:r>
      <w:r w:rsidR="00BC0FDD">
        <w:rPr>
          <w:rFonts w:eastAsia="HG Mincho Light J" w:cs="Arial"/>
        </w:rPr>
        <w:t xml:space="preserve">escripteurs </w:t>
      </w:r>
      <w:r>
        <w:rPr>
          <w:rFonts w:eastAsia="HG Mincho Light J" w:cs="Arial"/>
        </w:rPr>
        <w:t>de Dublin</w:t>
      </w:r>
      <w:r w:rsidR="00D67BDC">
        <w:rPr>
          <w:rFonts w:eastAsia="HG Mincho Light J" w:cs="Arial"/>
        </w:rPr>
        <w:t xml:space="preserve"> détaillant les huit compétences prises en compte dans les acquis de formation</w:t>
      </w:r>
    </w:p>
    <w:p w14:paraId="120E0FD9" w14:textId="77777777" w:rsidR="00D67BDC" w:rsidRDefault="00D67BDC" w:rsidP="00BC0FDD">
      <w:pPr>
        <w:ind w:left="708"/>
        <w:rPr>
          <w:rFonts w:cs="Arial"/>
          <w:b/>
          <w:bCs/>
          <w:sz w:val="20"/>
          <w:szCs w:val="20"/>
        </w:rPr>
      </w:pPr>
    </w:p>
    <w:p w14:paraId="76C273E0" w14:textId="14DD8A44" w:rsidR="00BC0FDD" w:rsidRPr="002973DE" w:rsidRDefault="00BC0FDD" w:rsidP="00BC0FDD">
      <w:pPr>
        <w:ind w:left="708"/>
        <w:rPr>
          <w:rFonts w:cs="Arial"/>
          <w:b/>
          <w:bCs/>
          <w:sz w:val="20"/>
          <w:szCs w:val="20"/>
        </w:rPr>
      </w:pPr>
      <w:r w:rsidRPr="002973DE">
        <w:rPr>
          <w:rFonts w:cs="Arial"/>
          <w:b/>
          <w:bCs/>
          <w:sz w:val="20"/>
          <w:szCs w:val="20"/>
        </w:rPr>
        <w:t xml:space="preserve">1 CONNAISSANCES ET COMPRÉHENSION </w:t>
      </w:r>
    </w:p>
    <w:p w14:paraId="1CE458CE" w14:textId="77777777" w:rsidR="00BC0FDD" w:rsidRPr="002973DE" w:rsidRDefault="00BC0FDD" w:rsidP="00BC0FDD">
      <w:pPr>
        <w:ind w:left="708"/>
        <w:rPr>
          <w:rFonts w:cs="Arial"/>
          <w:sz w:val="20"/>
          <w:szCs w:val="20"/>
        </w:rPr>
      </w:pPr>
      <w:r w:rsidRPr="002973DE">
        <w:rPr>
          <w:rFonts w:cs="Arial"/>
          <w:sz w:val="20"/>
          <w:szCs w:val="20"/>
        </w:rPr>
        <w:t xml:space="preserve">Le processus d’apprentissage devrait permettre aux </w:t>
      </w:r>
      <w:r w:rsidRPr="002973DE">
        <w:rPr>
          <w:rFonts w:cs="Arial"/>
          <w:i/>
          <w:iCs/>
          <w:sz w:val="20"/>
          <w:szCs w:val="20"/>
        </w:rPr>
        <w:t>titulaires d’un diplôme d’ingénieur (grade de Master)</w:t>
      </w:r>
      <w:r w:rsidRPr="002973DE">
        <w:rPr>
          <w:rFonts w:cs="Arial"/>
          <w:sz w:val="20"/>
          <w:szCs w:val="20"/>
        </w:rPr>
        <w:t xml:space="preserve"> de démontrer les capacités suivantes : </w:t>
      </w:r>
    </w:p>
    <w:p w14:paraId="7F2F9732"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Connaissance et compréhension approfondies des mathématiques et autres sciences de base indispensables à leur spécialisation d’ingénierie, à un niveau suffisant pour atteindre les autres acquis de formation ; </w:t>
      </w:r>
    </w:p>
    <w:p w14:paraId="5FC85A7D"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Connaissance et compréhension approfondies des disciplines d’ingénierie indispensables à leur spécialisation, à un niveau suffisant pour atteindre les autres acquis de formation ; </w:t>
      </w:r>
    </w:p>
    <w:p w14:paraId="24445B08"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Conscience critique des avancées dans leur domaine de spécialisation ; </w:t>
      </w:r>
    </w:p>
    <w:p w14:paraId="6D6511C7"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Conscience critique du contexte pluridisciplinaire plus large de l’ingénierie et aux problèmes de connaissances à l’interface entre plusieurs domaines. </w:t>
      </w:r>
    </w:p>
    <w:p w14:paraId="5967F142" w14:textId="77777777" w:rsidR="00BC0FDD" w:rsidRPr="002973DE" w:rsidRDefault="00BC0FDD" w:rsidP="00BC0FDD">
      <w:pPr>
        <w:ind w:left="708"/>
        <w:rPr>
          <w:rFonts w:cs="Arial"/>
          <w:sz w:val="20"/>
          <w:szCs w:val="20"/>
        </w:rPr>
      </w:pPr>
    </w:p>
    <w:p w14:paraId="039F5576" w14:textId="77777777" w:rsidR="00BC0FDD" w:rsidRPr="002973DE" w:rsidRDefault="00BC0FDD" w:rsidP="00BC0FDD">
      <w:pPr>
        <w:ind w:left="708"/>
        <w:rPr>
          <w:rFonts w:cs="Arial"/>
          <w:b/>
          <w:bCs/>
          <w:sz w:val="20"/>
          <w:szCs w:val="20"/>
        </w:rPr>
      </w:pPr>
      <w:r w:rsidRPr="002973DE">
        <w:rPr>
          <w:rFonts w:cs="Arial"/>
          <w:b/>
          <w:bCs/>
          <w:sz w:val="20"/>
          <w:szCs w:val="20"/>
        </w:rPr>
        <w:t>2 ANALYSE TECHNIQUE</w:t>
      </w:r>
    </w:p>
    <w:p w14:paraId="129E333D" w14:textId="77777777" w:rsidR="00BC0FDD" w:rsidRPr="002973DE" w:rsidRDefault="00BC0FDD" w:rsidP="00BC0FDD">
      <w:pPr>
        <w:ind w:left="708"/>
        <w:rPr>
          <w:rFonts w:cs="Arial"/>
          <w:sz w:val="20"/>
          <w:szCs w:val="20"/>
        </w:rPr>
      </w:pPr>
      <w:r w:rsidRPr="002973DE">
        <w:rPr>
          <w:rFonts w:cs="Arial"/>
          <w:sz w:val="20"/>
          <w:szCs w:val="20"/>
        </w:rPr>
        <w:t xml:space="preserve">Le processus d’apprentissage devrait permettre aux </w:t>
      </w:r>
      <w:r w:rsidRPr="002973DE">
        <w:rPr>
          <w:rFonts w:cs="Arial"/>
          <w:i/>
          <w:iCs/>
          <w:sz w:val="20"/>
          <w:szCs w:val="20"/>
        </w:rPr>
        <w:t>titulaires d’un diplôme d’ingénieur (grade de</w:t>
      </w:r>
      <w:r w:rsidRPr="002973DE">
        <w:rPr>
          <w:rFonts w:cs="Arial"/>
          <w:sz w:val="20"/>
          <w:szCs w:val="20"/>
        </w:rPr>
        <w:t xml:space="preserve"> </w:t>
      </w:r>
      <w:r w:rsidRPr="002973DE">
        <w:rPr>
          <w:rFonts w:cs="Arial"/>
          <w:i/>
          <w:iCs/>
          <w:sz w:val="20"/>
          <w:szCs w:val="20"/>
        </w:rPr>
        <w:t>Master)</w:t>
      </w:r>
      <w:r w:rsidRPr="002973DE">
        <w:rPr>
          <w:rFonts w:cs="Arial"/>
          <w:sz w:val="20"/>
          <w:szCs w:val="20"/>
        </w:rPr>
        <w:t xml:space="preserve"> de démontrer les capacités suivantes : </w:t>
      </w:r>
    </w:p>
    <w:p w14:paraId="5A205472"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analyser des produits, processus et systèmes techniques nouveaux et complexes dans des contextes d’ingénierie élargis et pluridisciplinaires ; à sélectionner et appliquer les méthodes analytiques, de calcul et expérimentales existantes, nouvelles ou innovantes les plus appropriées ; à interpréter avec un œil critique les résultats de telles analyses ; </w:t>
      </w:r>
    </w:p>
    <w:p w14:paraId="2554767A"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concevoir des produits, processus et systèmes techniques ; </w:t>
      </w:r>
    </w:p>
    <w:p w14:paraId="3451F0BA"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identifier, formuler et résoudre des problèmes techniques complexes et non familiers, incomplètement définis, aux spécifications contradictoires, pouvant faire appel à des notions d’autres domaines d’étude et devant tenir compte de contraintes non techniques (sociétales, d’hygiène et de sécurité́, environnementales, économiques et industrielles) ; à sélectionner et appliquer les méthodes analytiques, de calcul et expérimentales existantes, nouvelles ou innovantes les plus appropriés et pertinentes pour la résolution de problèmes ; </w:t>
      </w:r>
    </w:p>
    <w:p w14:paraId="468CD135"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identifier, formuler et résoudre des problèmes complexes dans des domaines nouveaux ou émergents de leur spécialisation. </w:t>
      </w:r>
    </w:p>
    <w:p w14:paraId="2342BC97" w14:textId="77777777" w:rsidR="00BC0FDD" w:rsidRPr="002973DE" w:rsidRDefault="00BC0FDD" w:rsidP="00BC0FDD">
      <w:pPr>
        <w:ind w:left="708"/>
        <w:rPr>
          <w:rFonts w:cs="Arial"/>
          <w:sz w:val="20"/>
          <w:szCs w:val="20"/>
        </w:rPr>
      </w:pPr>
    </w:p>
    <w:p w14:paraId="5249BAA1" w14:textId="77777777" w:rsidR="00BC0FDD" w:rsidRPr="002973DE" w:rsidRDefault="00BC0FDD" w:rsidP="00BC0FDD">
      <w:pPr>
        <w:ind w:left="708"/>
        <w:rPr>
          <w:rFonts w:cs="Arial"/>
          <w:b/>
          <w:bCs/>
          <w:sz w:val="20"/>
          <w:szCs w:val="20"/>
        </w:rPr>
      </w:pPr>
      <w:r w:rsidRPr="002973DE">
        <w:rPr>
          <w:rFonts w:cs="Arial"/>
          <w:b/>
          <w:bCs/>
          <w:sz w:val="20"/>
          <w:szCs w:val="20"/>
        </w:rPr>
        <w:t>3 CONCEPTION TECHNIQUE</w:t>
      </w:r>
    </w:p>
    <w:p w14:paraId="7189A128" w14:textId="77777777" w:rsidR="00BC0FDD" w:rsidRPr="002973DE" w:rsidRDefault="00BC0FDD" w:rsidP="00BC0FDD">
      <w:pPr>
        <w:ind w:left="708"/>
        <w:rPr>
          <w:rFonts w:cs="Arial"/>
          <w:sz w:val="20"/>
          <w:szCs w:val="20"/>
        </w:rPr>
      </w:pPr>
      <w:r w:rsidRPr="002973DE">
        <w:rPr>
          <w:rFonts w:cs="Arial"/>
          <w:sz w:val="20"/>
          <w:szCs w:val="20"/>
        </w:rPr>
        <w:t xml:space="preserve">Le processus d’apprentissage devrait permettre aux </w:t>
      </w:r>
      <w:r w:rsidRPr="002973DE">
        <w:rPr>
          <w:rFonts w:cs="Arial"/>
          <w:i/>
          <w:iCs/>
          <w:sz w:val="20"/>
          <w:szCs w:val="20"/>
        </w:rPr>
        <w:t>titulaires d’un diplôme d’ingénieur (grade de</w:t>
      </w:r>
      <w:r w:rsidRPr="002973DE">
        <w:rPr>
          <w:rFonts w:cs="Arial"/>
          <w:sz w:val="20"/>
          <w:szCs w:val="20"/>
        </w:rPr>
        <w:t xml:space="preserve"> </w:t>
      </w:r>
      <w:r w:rsidRPr="002973DE">
        <w:rPr>
          <w:rFonts w:cs="Arial"/>
          <w:i/>
          <w:iCs/>
          <w:sz w:val="20"/>
          <w:szCs w:val="20"/>
        </w:rPr>
        <w:t>Master)</w:t>
      </w:r>
      <w:r w:rsidRPr="002973DE">
        <w:rPr>
          <w:rFonts w:cs="Arial"/>
          <w:sz w:val="20"/>
          <w:szCs w:val="20"/>
        </w:rPr>
        <w:t xml:space="preserve"> de démontrer les capacités suivantes : </w:t>
      </w:r>
    </w:p>
    <w:p w14:paraId="47F8603C"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développer et concevoir des produits (appareils, objets, etc.), processus et systèmes nouveaux et complexes, ayant des spécifications incomplètes et/ou contradictoires, nécessitant l’intégration de connaissances de différents domaines d’étude et de contraintes non techniques (sociétales, d’hygiène et de sécurité́, environnementales, économiques et industrielles) ; à sélectionner et appliquer les méthodologies de conception les plus appropriées et pertinentes, ou à utiliser la créativité́ pour développer des méthodologies de conception nouvelles et originales ; </w:t>
      </w:r>
    </w:p>
    <w:p w14:paraId="1E90BC6F"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concevoir en s’appuyant sur les connaissances et la compréhension des derniers développements dans leur spécialisation d’ingénierie </w:t>
      </w:r>
    </w:p>
    <w:p w14:paraId="3199B19C" w14:textId="77777777" w:rsidR="00BC0FDD" w:rsidRPr="002973DE" w:rsidRDefault="00BC0FDD" w:rsidP="00BC0FDD">
      <w:pPr>
        <w:ind w:left="708"/>
        <w:rPr>
          <w:rFonts w:cs="Arial"/>
          <w:b/>
          <w:bCs/>
          <w:sz w:val="20"/>
          <w:szCs w:val="20"/>
        </w:rPr>
      </w:pPr>
    </w:p>
    <w:p w14:paraId="703F8BDB" w14:textId="77777777" w:rsidR="00BC0FDD" w:rsidRPr="002973DE" w:rsidRDefault="00BC0FDD" w:rsidP="00BC0FDD">
      <w:pPr>
        <w:ind w:left="708"/>
        <w:rPr>
          <w:rFonts w:cs="Arial"/>
          <w:b/>
          <w:bCs/>
          <w:sz w:val="20"/>
          <w:szCs w:val="20"/>
        </w:rPr>
      </w:pPr>
      <w:r w:rsidRPr="002973DE">
        <w:rPr>
          <w:rFonts w:cs="Arial"/>
          <w:b/>
          <w:bCs/>
          <w:sz w:val="20"/>
          <w:szCs w:val="20"/>
        </w:rPr>
        <w:lastRenderedPageBreak/>
        <w:t xml:space="preserve">4 ÉTUDES ET RECHERCHES </w:t>
      </w:r>
    </w:p>
    <w:p w14:paraId="50E536C3" w14:textId="77777777" w:rsidR="00BC0FDD" w:rsidRPr="002973DE" w:rsidRDefault="00BC0FDD" w:rsidP="00BC0FDD">
      <w:pPr>
        <w:ind w:left="708"/>
        <w:rPr>
          <w:rFonts w:cs="Arial"/>
          <w:sz w:val="20"/>
          <w:szCs w:val="20"/>
        </w:rPr>
      </w:pPr>
      <w:r w:rsidRPr="002973DE">
        <w:rPr>
          <w:rFonts w:cs="Arial"/>
          <w:sz w:val="20"/>
          <w:szCs w:val="20"/>
        </w:rPr>
        <w:t xml:space="preserve">Le processus d’apprentissage devrait permettre aux </w:t>
      </w:r>
      <w:r w:rsidRPr="002973DE">
        <w:rPr>
          <w:rFonts w:cs="Arial"/>
          <w:i/>
          <w:iCs/>
          <w:sz w:val="20"/>
          <w:szCs w:val="20"/>
        </w:rPr>
        <w:t>titulaires d’un diplôme d’ingénieur (grade de Master)</w:t>
      </w:r>
      <w:r w:rsidRPr="002973DE">
        <w:rPr>
          <w:rFonts w:cs="Arial"/>
          <w:sz w:val="20"/>
          <w:szCs w:val="20"/>
        </w:rPr>
        <w:t xml:space="preserve"> de savoir démontrer les capacités suivantes : </w:t>
      </w:r>
    </w:p>
    <w:p w14:paraId="0472A764"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identifier, localiser et recueillir les données nécessaires ; </w:t>
      </w:r>
    </w:p>
    <w:p w14:paraId="3D8C64EB"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mener des recherches bibliographiques, à consulter et utiliser avec un œil critique des bases de données scientifiques et d’autres sources d’informations, à réaliser des simulations afin d’approfondir les études et la recherche sur des sujets techniques ; </w:t>
      </w:r>
    </w:p>
    <w:p w14:paraId="4E08710C"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consulter et appliquer les codes de bonne pratique et les règlementations de sécurité́ ; </w:t>
      </w:r>
    </w:p>
    <w:p w14:paraId="34E5C5DB"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Compétences de laboratoire/d’atelier avancées et aptitude à concevoir et mener des études expérimentales, à mener une évaluation critique et à tirer des conclusions ; </w:t>
      </w:r>
    </w:p>
    <w:p w14:paraId="6DE43CFF"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réaliser des études d’application de technologies nouvelles et émergentes à la pointe de leur spécialisation d’ingénierie. </w:t>
      </w:r>
    </w:p>
    <w:p w14:paraId="6804E5B1" w14:textId="77777777" w:rsidR="00BC0FDD" w:rsidRPr="002973DE" w:rsidRDefault="00BC0FDD" w:rsidP="00BC0FDD">
      <w:pPr>
        <w:ind w:left="708"/>
        <w:rPr>
          <w:rFonts w:cs="Arial"/>
          <w:sz w:val="20"/>
          <w:szCs w:val="20"/>
        </w:rPr>
      </w:pPr>
    </w:p>
    <w:p w14:paraId="1EEC963D" w14:textId="77777777" w:rsidR="00BC0FDD" w:rsidRPr="002973DE" w:rsidRDefault="00BC0FDD" w:rsidP="00BC0FDD">
      <w:pPr>
        <w:ind w:left="708"/>
        <w:rPr>
          <w:rFonts w:cs="Arial"/>
          <w:b/>
          <w:bCs/>
          <w:sz w:val="20"/>
          <w:szCs w:val="20"/>
        </w:rPr>
      </w:pPr>
      <w:r w:rsidRPr="002973DE">
        <w:rPr>
          <w:rFonts w:cs="Arial"/>
          <w:b/>
          <w:bCs/>
          <w:sz w:val="20"/>
          <w:szCs w:val="20"/>
        </w:rPr>
        <w:t>5 PRATIQUE DE L’INGÉNIERIE</w:t>
      </w:r>
    </w:p>
    <w:p w14:paraId="754C5AF4" w14:textId="77777777" w:rsidR="00BC0FDD" w:rsidRPr="002973DE" w:rsidRDefault="00BC0FDD" w:rsidP="00BC0FDD">
      <w:pPr>
        <w:ind w:left="708"/>
        <w:rPr>
          <w:rFonts w:cs="Arial"/>
          <w:sz w:val="20"/>
          <w:szCs w:val="20"/>
        </w:rPr>
      </w:pPr>
      <w:r w:rsidRPr="002973DE">
        <w:rPr>
          <w:rFonts w:cs="Arial"/>
          <w:sz w:val="20"/>
          <w:szCs w:val="20"/>
        </w:rPr>
        <w:t xml:space="preserve">Le processus d’apprentissage devrait permettre aux </w:t>
      </w:r>
      <w:r w:rsidRPr="002973DE">
        <w:rPr>
          <w:rFonts w:cs="Arial"/>
          <w:i/>
          <w:iCs/>
          <w:sz w:val="20"/>
          <w:szCs w:val="20"/>
        </w:rPr>
        <w:t>titulaires d’un diplôme d’ingénieur (grade de</w:t>
      </w:r>
      <w:r w:rsidRPr="002973DE">
        <w:rPr>
          <w:rFonts w:cs="Arial"/>
          <w:sz w:val="20"/>
          <w:szCs w:val="20"/>
        </w:rPr>
        <w:t xml:space="preserve"> </w:t>
      </w:r>
      <w:r w:rsidRPr="002973DE">
        <w:rPr>
          <w:rFonts w:cs="Arial"/>
          <w:i/>
          <w:iCs/>
          <w:sz w:val="20"/>
          <w:szCs w:val="20"/>
        </w:rPr>
        <w:t xml:space="preserve">Master) </w:t>
      </w:r>
      <w:r w:rsidRPr="002973DE">
        <w:rPr>
          <w:rFonts w:cs="Arial"/>
          <w:sz w:val="20"/>
          <w:szCs w:val="20"/>
        </w:rPr>
        <w:t xml:space="preserve">de savoir démontrer les capacités suivantes : </w:t>
      </w:r>
    </w:p>
    <w:p w14:paraId="0D4A36B5"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Compréhension approfondie des techniques et méthodes d’analyse, de conception et de Recherche applicable, </w:t>
      </w:r>
      <w:r w:rsidRPr="002973DE">
        <w:rPr>
          <w:sz w:val="20"/>
          <w:szCs w:val="20"/>
        </w:rPr>
        <w:br/>
        <w:t xml:space="preserve">et de leurs limites ; compétences pratiques, y compris informatiques, dans la résolution de problèmes complexes, la réalisation de conceptions techniques complexes, le développement et la conduite d’études complexes ; </w:t>
      </w:r>
    </w:p>
    <w:p w14:paraId="73217F2A"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Compréhension approfondie des matériaux, équipements et outils applicables, des technologies et processus techniques, y compris de leurs limites ; </w:t>
      </w:r>
    </w:p>
    <w:p w14:paraId="67185E0C"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appliquer des normes pratiques d’ingénierie ; </w:t>
      </w:r>
    </w:p>
    <w:p w14:paraId="2CDCF2DD"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Connaissance et compréhension des aspects non techniques (sociétaux, d’hygiène et de sécurité́, environnementaux, économiques et industriels) de la pratique de l’ingénierie ; </w:t>
      </w:r>
    </w:p>
    <w:p w14:paraId="335DCF78"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Conscience critique des problèmes économiques, organisationnels et de management (gestion de projet, gestion des risques et du changement…). </w:t>
      </w:r>
    </w:p>
    <w:p w14:paraId="30ECF780" w14:textId="77777777" w:rsidR="00BC0FDD" w:rsidRPr="002973DE" w:rsidRDefault="00BC0FDD" w:rsidP="00BC0FDD">
      <w:pPr>
        <w:ind w:left="708"/>
        <w:rPr>
          <w:rFonts w:cs="Arial"/>
          <w:b/>
          <w:bCs/>
          <w:sz w:val="20"/>
          <w:szCs w:val="20"/>
        </w:rPr>
      </w:pPr>
      <w:r w:rsidRPr="002973DE">
        <w:rPr>
          <w:rFonts w:cs="Arial"/>
          <w:sz w:val="20"/>
          <w:szCs w:val="20"/>
        </w:rPr>
        <w:t>Noter l’importance de la part expérimentale et non uniquement numérique des TP.</w:t>
      </w:r>
      <w:r w:rsidRPr="002973DE">
        <w:rPr>
          <w:rFonts w:cs="Arial"/>
          <w:b/>
          <w:bCs/>
          <w:sz w:val="20"/>
          <w:szCs w:val="20"/>
        </w:rPr>
        <w:t xml:space="preserve"> </w:t>
      </w:r>
    </w:p>
    <w:p w14:paraId="0DDFB93A" w14:textId="77777777" w:rsidR="00BC0FDD" w:rsidRPr="002973DE" w:rsidRDefault="00BC0FDD" w:rsidP="00BC0FDD">
      <w:pPr>
        <w:ind w:left="708"/>
        <w:rPr>
          <w:rFonts w:cs="Arial"/>
          <w:b/>
          <w:bCs/>
          <w:sz w:val="20"/>
          <w:szCs w:val="20"/>
        </w:rPr>
      </w:pPr>
    </w:p>
    <w:p w14:paraId="5AD1A3BC" w14:textId="77777777" w:rsidR="00BC0FDD" w:rsidRPr="002973DE" w:rsidRDefault="00BC0FDD" w:rsidP="00BC0FDD">
      <w:pPr>
        <w:ind w:left="708"/>
        <w:rPr>
          <w:rFonts w:cs="Arial"/>
          <w:sz w:val="20"/>
          <w:szCs w:val="20"/>
        </w:rPr>
      </w:pPr>
      <w:r w:rsidRPr="002973DE">
        <w:rPr>
          <w:rFonts w:cs="Arial"/>
          <w:b/>
          <w:bCs/>
          <w:sz w:val="20"/>
          <w:szCs w:val="20"/>
        </w:rPr>
        <w:t>6 PRISE DE DÉCISION</w:t>
      </w:r>
    </w:p>
    <w:p w14:paraId="37834FF2" w14:textId="77777777" w:rsidR="00BC0FDD" w:rsidRPr="002973DE" w:rsidRDefault="00BC0FDD" w:rsidP="00BC0FDD">
      <w:pPr>
        <w:ind w:left="708"/>
        <w:rPr>
          <w:rFonts w:cs="Arial"/>
          <w:sz w:val="20"/>
          <w:szCs w:val="20"/>
        </w:rPr>
      </w:pPr>
      <w:r w:rsidRPr="002973DE">
        <w:rPr>
          <w:rFonts w:cs="Arial"/>
          <w:sz w:val="20"/>
          <w:szCs w:val="20"/>
        </w:rPr>
        <w:t xml:space="preserve">Le processus d’apprentissage devrait permettre aux </w:t>
      </w:r>
      <w:r w:rsidRPr="002973DE">
        <w:rPr>
          <w:rFonts w:cs="Arial"/>
          <w:i/>
          <w:iCs/>
          <w:sz w:val="20"/>
          <w:szCs w:val="20"/>
        </w:rPr>
        <w:t>titulaires d’un diplôme d’ingénieur (grade de</w:t>
      </w:r>
      <w:r w:rsidRPr="002973DE">
        <w:rPr>
          <w:rFonts w:cs="Arial"/>
          <w:sz w:val="20"/>
          <w:szCs w:val="20"/>
        </w:rPr>
        <w:t xml:space="preserve"> </w:t>
      </w:r>
      <w:r w:rsidRPr="002973DE">
        <w:rPr>
          <w:rFonts w:cs="Arial"/>
          <w:i/>
          <w:iCs/>
          <w:sz w:val="20"/>
          <w:szCs w:val="20"/>
        </w:rPr>
        <w:t>Master)</w:t>
      </w:r>
      <w:r w:rsidRPr="002973DE">
        <w:rPr>
          <w:rFonts w:cs="Arial"/>
          <w:sz w:val="20"/>
          <w:szCs w:val="20"/>
        </w:rPr>
        <w:t xml:space="preserve"> de démontrer les capacités suivantes : </w:t>
      </w:r>
    </w:p>
    <w:p w14:paraId="439EB8ED"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intégrer des connaissances et à gérer la complexité́, à prendre des décisions à partir d’informations incomplètes ou limitées, impliquant une réflexion sur les responsabilités sociales et éthiques liées à l’application de leurs connaissances et décisions ; </w:t>
      </w:r>
    </w:p>
    <w:p w14:paraId="3B2936E9"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gérer des activités ou projets techniques ou professionnels complexes pouvant nécessiter de nouvelles approches stratégiques, en assumant la responsabilité́ de leurs décisions. </w:t>
      </w:r>
    </w:p>
    <w:p w14:paraId="372C682E" w14:textId="77777777" w:rsidR="00BC0FDD" w:rsidRPr="002973DE" w:rsidRDefault="00BC0FDD" w:rsidP="00BC0FDD">
      <w:pPr>
        <w:ind w:left="708"/>
        <w:rPr>
          <w:rFonts w:cs="Arial"/>
          <w:sz w:val="20"/>
          <w:szCs w:val="20"/>
        </w:rPr>
      </w:pPr>
    </w:p>
    <w:p w14:paraId="3DA576E4" w14:textId="77777777" w:rsidR="00BC0FDD" w:rsidRPr="002973DE" w:rsidRDefault="00BC0FDD" w:rsidP="00BC0FDD">
      <w:pPr>
        <w:ind w:left="708"/>
        <w:rPr>
          <w:rFonts w:cs="Arial"/>
          <w:b/>
          <w:bCs/>
          <w:sz w:val="20"/>
          <w:szCs w:val="20"/>
        </w:rPr>
      </w:pPr>
      <w:r w:rsidRPr="002973DE">
        <w:rPr>
          <w:rFonts w:cs="Arial"/>
          <w:b/>
          <w:bCs/>
          <w:sz w:val="20"/>
          <w:szCs w:val="20"/>
        </w:rPr>
        <w:t xml:space="preserve">7 COMMUNICATION ET TRAVAIL EN ÉQUIPE </w:t>
      </w:r>
    </w:p>
    <w:p w14:paraId="0FCEDBED" w14:textId="77777777" w:rsidR="00BC0FDD" w:rsidRPr="002973DE" w:rsidRDefault="00BC0FDD" w:rsidP="00BC0FDD">
      <w:pPr>
        <w:ind w:left="708"/>
        <w:rPr>
          <w:rFonts w:cs="Arial"/>
          <w:sz w:val="20"/>
          <w:szCs w:val="20"/>
        </w:rPr>
      </w:pPr>
      <w:r w:rsidRPr="002973DE">
        <w:rPr>
          <w:rFonts w:cs="Arial"/>
          <w:sz w:val="20"/>
          <w:szCs w:val="20"/>
        </w:rPr>
        <w:t xml:space="preserve">Le processus d’apprentissage devrait permettre aux </w:t>
      </w:r>
      <w:r w:rsidRPr="002973DE">
        <w:rPr>
          <w:rFonts w:cs="Arial"/>
          <w:i/>
          <w:iCs/>
          <w:sz w:val="20"/>
          <w:szCs w:val="20"/>
        </w:rPr>
        <w:t>titulaires d’un diplôme d’ingénieur (grade de Master)</w:t>
      </w:r>
      <w:r w:rsidRPr="002973DE">
        <w:rPr>
          <w:rFonts w:cs="Arial"/>
          <w:sz w:val="20"/>
          <w:szCs w:val="20"/>
        </w:rPr>
        <w:t xml:space="preserve"> de savoir démontrer les capacités suivantes : </w:t>
      </w:r>
    </w:p>
    <w:p w14:paraId="0DD7D770"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utiliser différentes méthodes pour communiquer efficacement et sans ambiguïté́ leurs conclusions, ainsi que les connaissances et raisons sous-jacentes à ces conclusions, à </w:t>
      </w:r>
      <w:r w:rsidRPr="002973DE">
        <w:rPr>
          <w:sz w:val="20"/>
          <w:szCs w:val="20"/>
        </w:rPr>
        <w:lastRenderedPageBreak/>
        <w:t xml:space="preserve">des publics spécialistes et non spécialistes, et dans des contextes nationaux et internationaux ; </w:t>
      </w:r>
    </w:p>
    <w:p w14:paraId="2C7089FA"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travailler de manière efficace dans des contextes nationaux et internationaux, en tant que membre ou responsable d’une équipe pouvant inclure des personnes de différents niveaux ou disciplines, et utiliser des outils de communication virtuelle. </w:t>
      </w:r>
    </w:p>
    <w:p w14:paraId="746A0EB0" w14:textId="77777777" w:rsidR="00BC0FDD" w:rsidRPr="002973DE" w:rsidRDefault="00BC0FDD" w:rsidP="00BC0FDD">
      <w:pPr>
        <w:ind w:left="708"/>
        <w:rPr>
          <w:rFonts w:cs="Arial"/>
          <w:sz w:val="20"/>
          <w:szCs w:val="20"/>
        </w:rPr>
      </w:pPr>
    </w:p>
    <w:p w14:paraId="23C27219" w14:textId="77777777" w:rsidR="00BC0FDD" w:rsidRPr="002973DE" w:rsidRDefault="00BC0FDD" w:rsidP="00BC0FDD">
      <w:pPr>
        <w:ind w:left="708"/>
        <w:rPr>
          <w:rFonts w:cs="Arial"/>
          <w:b/>
          <w:bCs/>
          <w:sz w:val="20"/>
          <w:szCs w:val="20"/>
        </w:rPr>
      </w:pPr>
      <w:r w:rsidRPr="002973DE">
        <w:rPr>
          <w:rFonts w:cs="Arial"/>
          <w:b/>
          <w:bCs/>
          <w:sz w:val="20"/>
          <w:szCs w:val="20"/>
        </w:rPr>
        <w:t>8 APPRENTISSAGE TOUT AU LONG DE LA VIE</w:t>
      </w:r>
    </w:p>
    <w:p w14:paraId="759FDBCE" w14:textId="77777777" w:rsidR="00BC0FDD" w:rsidRPr="002973DE" w:rsidRDefault="00BC0FDD" w:rsidP="00BC0FDD">
      <w:pPr>
        <w:ind w:left="708"/>
        <w:rPr>
          <w:rFonts w:cs="Arial"/>
          <w:sz w:val="20"/>
          <w:szCs w:val="20"/>
        </w:rPr>
      </w:pPr>
      <w:r w:rsidRPr="002973DE">
        <w:rPr>
          <w:rFonts w:cs="Arial"/>
          <w:sz w:val="20"/>
          <w:szCs w:val="20"/>
        </w:rPr>
        <w:t xml:space="preserve">Le processus d’apprentissage devrait permettre aux </w:t>
      </w:r>
      <w:r w:rsidRPr="002973DE">
        <w:rPr>
          <w:rFonts w:cs="Arial"/>
          <w:i/>
          <w:iCs/>
          <w:sz w:val="20"/>
          <w:szCs w:val="20"/>
        </w:rPr>
        <w:t>titulaires d’un diplôme d’ingénieur (grade de</w:t>
      </w:r>
      <w:r w:rsidRPr="002973DE">
        <w:rPr>
          <w:rFonts w:cs="Arial"/>
          <w:sz w:val="20"/>
          <w:szCs w:val="20"/>
        </w:rPr>
        <w:t xml:space="preserve"> </w:t>
      </w:r>
      <w:r w:rsidRPr="002973DE">
        <w:rPr>
          <w:rFonts w:cs="Arial"/>
          <w:i/>
          <w:iCs/>
          <w:sz w:val="20"/>
          <w:szCs w:val="20"/>
        </w:rPr>
        <w:t>Master)</w:t>
      </w:r>
      <w:r w:rsidRPr="002973DE">
        <w:rPr>
          <w:rFonts w:cs="Arial"/>
          <w:sz w:val="20"/>
          <w:szCs w:val="20"/>
        </w:rPr>
        <w:t xml:space="preserve"> de savoir démontrer les capacités suivantes : </w:t>
      </w:r>
    </w:p>
    <w:p w14:paraId="10C06CEB"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s’engager dans un apprentissage indépendant tout au long de la vie ; </w:t>
      </w:r>
    </w:p>
    <w:p w14:paraId="411F293F" w14:textId="77777777" w:rsidR="00BC0FDD" w:rsidRPr="002973DE" w:rsidRDefault="00BC0FDD" w:rsidP="00BC0FDD">
      <w:pPr>
        <w:pStyle w:val="Paragraphedeliste"/>
        <w:widowControl w:val="0"/>
        <w:numPr>
          <w:ilvl w:val="0"/>
          <w:numId w:val="16"/>
        </w:numPr>
        <w:suppressAutoHyphens/>
        <w:spacing w:after="0" w:line="264" w:lineRule="auto"/>
        <w:ind w:left="1428"/>
        <w:contextualSpacing w:val="0"/>
        <w:rPr>
          <w:sz w:val="20"/>
          <w:szCs w:val="20"/>
        </w:rPr>
      </w:pPr>
      <w:r w:rsidRPr="002973DE">
        <w:rPr>
          <w:sz w:val="20"/>
          <w:szCs w:val="20"/>
        </w:rPr>
        <w:t xml:space="preserve">Aptitude à entreprendre des études complémentaires de manière autonome. </w:t>
      </w:r>
    </w:p>
    <w:p w14:paraId="637E205D" w14:textId="77777777" w:rsidR="00BC0FDD" w:rsidRPr="002973DE" w:rsidRDefault="00BC0FDD" w:rsidP="00BC0FDD">
      <w:pPr>
        <w:pStyle w:val="Paragraphedeliste"/>
        <w:ind w:left="1428"/>
        <w:rPr>
          <w:sz w:val="20"/>
          <w:szCs w:val="20"/>
        </w:rPr>
      </w:pPr>
    </w:p>
    <w:p w14:paraId="2F871AC5" w14:textId="77777777" w:rsidR="007A25F9" w:rsidRPr="007A25F9" w:rsidRDefault="007A25F9" w:rsidP="004B40F7">
      <w:pPr>
        <w:rPr>
          <w:rFonts w:ascii="Times New Roman" w:eastAsia="HG Mincho Light J" w:hAnsi="Times New Roman" w:cs="Times New Roman"/>
          <w:color w:val="00B050"/>
          <w:sz w:val="22"/>
          <w:szCs w:val="22"/>
        </w:rPr>
      </w:pPr>
    </w:p>
    <w:sectPr w:rsidR="007A25F9" w:rsidRPr="007A25F9" w:rsidSect="001D206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EA5F" w14:textId="77777777" w:rsidR="009C2680" w:rsidRDefault="009C2680" w:rsidP="00A71B11">
      <w:pPr>
        <w:spacing w:after="0" w:line="240" w:lineRule="auto"/>
      </w:pPr>
      <w:r>
        <w:separator/>
      </w:r>
    </w:p>
  </w:endnote>
  <w:endnote w:type="continuationSeparator" w:id="0">
    <w:p w14:paraId="29F6E42C" w14:textId="77777777" w:rsidR="009C2680" w:rsidRDefault="009C2680" w:rsidP="00A71B11">
      <w:pPr>
        <w:spacing w:after="0" w:line="240" w:lineRule="auto"/>
      </w:pPr>
      <w:r>
        <w:continuationSeparator/>
      </w:r>
    </w:p>
  </w:endnote>
  <w:endnote w:type="continuationNotice" w:id="1">
    <w:p w14:paraId="245E6731" w14:textId="77777777" w:rsidR="009C2680" w:rsidRDefault="009C2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4D4B7" w14:textId="77777777" w:rsidR="009C2680" w:rsidRDefault="009C2680" w:rsidP="00A71B11">
      <w:pPr>
        <w:spacing w:after="0" w:line="240" w:lineRule="auto"/>
      </w:pPr>
      <w:r>
        <w:separator/>
      </w:r>
    </w:p>
  </w:footnote>
  <w:footnote w:type="continuationSeparator" w:id="0">
    <w:p w14:paraId="18766612" w14:textId="77777777" w:rsidR="009C2680" w:rsidRDefault="009C2680" w:rsidP="00A71B11">
      <w:pPr>
        <w:spacing w:after="0" w:line="240" w:lineRule="auto"/>
      </w:pPr>
      <w:r>
        <w:continuationSeparator/>
      </w:r>
    </w:p>
  </w:footnote>
  <w:footnote w:type="continuationNotice" w:id="1">
    <w:p w14:paraId="752F5F88" w14:textId="77777777" w:rsidR="009C2680" w:rsidRDefault="009C2680">
      <w:pPr>
        <w:spacing w:after="0" w:line="240" w:lineRule="auto"/>
      </w:pPr>
    </w:p>
  </w:footnote>
  <w:footnote w:id="2">
    <w:p w14:paraId="250A523A" w14:textId="77777777" w:rsidR="00DC2352" w:rsidRPr="00AE6B8B" w:rsidRDefault="00DC2352" w:rsidP="00142181">
      <w:pPr>
        <w:pStyle w:val="Paragraphedeliste"/>
        <w:ind w:left="360"/>
        <w:rPr>
          <w:rFonts w:eastAsia="HG Mincho Light J" w:cs="Arial"/>
          <w:sz w:val="16"/>
          <w:szCs w:val="16"/>
          <w:lang w:val="en-GB"/>
        </w:rPr>
      </w:pPr>
      <w:r w:rsidRPr="004B40F7">
        <w:rPr>
          <w:rStyle w:val="Appelnotedebasdep"/>
          <w:sz w:val="16"/>
          <w:szCs w:val="16"/>
        </w:rPr>
        <w:footnoteRef/>
      </w:r>
      <w:r w:rsidRPr="00AE6B8B">
        <w:rPr>
          <w:sz w:val="16"/>
          <w:szCs w:val="16"/>
          <w:lang w:val="en-GB"/>
        </w:rPr>
        <w:t xml:space="preserve"> </w:t>
      </w:r>
      <w:r w:rsidRPr="00AE6B8B">
        <w:rPr>
          <w:rFonts w:eastAsia="HG Mincho Light J" w:cs="Arial"/>
          <w:sz w:val="16"/>
          <w:szCs w:val="16"/>
          <w:lang w:val="en-GB"/>
        </w:rPr>
        <w:t xml:space="preserve">Sources : </w:t>
      </w:r>
    </w:p>
    <w:p w14:paraId="18014C38" w14:textId="77777777" w:rsidR="00DC2352" w:rsidRPr="00AE6B8B" w:rsidRDefault="00DC2352" w:rsidP="00142181">
      <w:pPr>
        <w:pStyle w:val="Paragraphedeliste"/>
        <w:ind w:left="360"/>
        <w:rPr>
          <w:rFonts w:eastAsia="HG Mincho Light J" w:cs="Arial"/>
          <w:sz w:val="16"/>
          <w:szCs w:val="16"/>
          <w:lang w:val="en-GB"/>
        </w:rPr>
      </w:pPr>
      <w:r w:rsidRPr="00AE6B8B">
        <w:rPr>
          <w:rFonts w:eastAsia="HG Mincho Light J" w:cs="Arial"/>
          <w:sz w:val="16"/>
          <w:szCs w:val="16"/>
          <w:lang w:val="en-GB"/>
        </w:rPr>
        <w:t xml:space="preserve">EUR-ACE ® Framework Standards and Guidelines (EAFSG) (2021) </w:t>
      </w:r>
      <w:hyperlink r:id="rId1" w:history="1">
        <w:r w:rsidRPr="00AE6B8B">
          <w:rPr>
            <w:rStyle w:val="Lienhypertexte"/>
            <w:rFonts w:eastAsia="HG Mincho Light J" w:cs="Arial"/>
            <w:color w:val="auto"/>
            <w:sz w:val="16"/>
            <w:szCs w:val="16"/>
            <w:lang w:val="en-GB"/>
          </w:rPr>
          <w:t>https://www.cti-commission.fr/wp-content/uploads/2022/12/EAFSG_ENAEE_2021_EN.pdf</w:t>
        </w:r>
      </w:hyperlink>
    </w:p>
    <w:p w14:paraId="04D5CF52" w14:textId="77777777" w:rsidR="00DC2352" w:rsidRPr="004B40F7" w:rsidRDefault="00DC2352" w:rsidP="00142181">
      <w:pPr>
        <w:pStyle w:val="Paragraphedeliste"/>
        <w:ind w:left="360"/>
        <w:rPr>
          <w:rFonts w:eastAsia="HG Mincho Light J" w:cs="Arial"/>
          <w:sz w:val="16"/>
          <w:szCs w:val="16"/>
        </w:rPr>
      </w:pPr>
      <w:r w:rsidRPr="004B40F7">
        <w:rPr>
          <w:rFonts w:eastAsia="HG Mincho Light J" w:cs="Arial"/>
          <w:sz w:val="16"/>
          <w:szCs w:val="16"/>
        </w:rPr>
        <w:t xml:space="preserve">Références et lignes directrices du Label EUR-ACE® (EAFSG) (2015 – traduction française) ; </w:t>
      </w:r>
      <w:hyperlink r:id="rId2" w:history="1">
        <w:r w:rsidRPr="004B40F7">
          <w:rPr>
            <w:rStyle w:val="Lienhypertexte"/>
            <w:rFonts w:eastAsia="HG Mincho Light J" w:cs="Arial"/>
            <w:color w:val="auto"/>
            <w:sz w:val="16"/>
            <w:szCs w:val="16"/>
          </w:rPr>
          <w:t>https://www.cti-commission.fr/wp-content/uploads/2023/06/EURACE_EAFSG-VF_2015.pdf</w:t>
        </w:r>
      </w:hyperlink>
    </w:p>
    <w:p w14:paraId="5B4CDFC9" w14:textId="197F4180" w:rsidR="00DC2352" w:rsidRDefault="00DC2352">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C26"/>
    <w:multiLevelType w:val="hybridMultilevel"/>
    <w:tmpl w:val="E18C3A88"/>
    <w:lvl w:ilvl="0" w:tplc="1AE4F956">
      <w:start w:val="2"/>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DC91450"/>
    <w:multiLevelType w:val="hybridMultilevel"/>
    <w:tmpl w:val="1458CCE2"/>
    <w:lvl w:ilvl="0" w:tplc="1388CA78">
      <w:start w:val="1"/>
      <w:numFmt w:val="bullet"/>
      <w:lvlText w:val="-"/>
      <w:lvlJc w:val="left"/>
      <w:pPr>
        <w:ind w:left="720" w:hanging="360"/>
      </w:pPr>
      <w:rPr>
        <w:rFonts w:ascii="Arial Narrow"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2E66EE"/>
    <w:multiLevelType w:val="hybridMultilevel"/>
    <w:tmpl w:val="87FA1A34"/>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8F6171"/>
    <w:multiLevelType w:val="multilevel"/>
    <w:tmpl w:val="B6487C38"/>
    <w:lvl w:ilvl="0">
      <w:start w:val="3"/>
      <w:numFmt w:val="decimal"/>
      <w:lvlText w:val="%1."/>
      <w:lvlJc w:val="left"/>
      <w:pPr>
        <w:ind w:left="400" w:hanging="400"/>
      </w:pPr>
      <w:rPr>
        <w:rFonts w:hint="default"/>
      </w:rPr>
    </w:lvl>
    <w:lvl w:ilvl="1">
      <w:start w:val="1"/>
      <w:numFmt w:val="upperLetter"/>
      <w:lvlText w:val="%2."/>
      <w:lvlJc w:val="left"/>
      <w:pPr>
        <w:ind w:left="1288" w:hanging="720"/>
      </w:pPr>
      <w:rPr>
        <w:rFonts w:asciiTheme="minorHAnsi" w:eastAsiaTheme="minorHAnsi" w:hAnsiTheme="minorHAnsi" w:cstheme="minorBidi"/>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CD36C7"/>
    <w:multiLevelType w:val="hybridMultilevel"/>
    <w:tmpl w:val="76CE5DE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4443639"/>
    <w:multiLevelType w:val="hybridMultilevel"/>
    <w:tmpl w:val="67B615C4"/>
    <w:lvl w:ilvl="0" w:tplc="FD3A576E">
      <w:start w:val="1"/>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BB9055F"/>
    <w:multiLevelType w:val="hybridMultilevel"/>
    <w:tmpl w:val="4D341E5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ED74A20"/>
    <w:multiLevelType w:val="hybridMultilevel"/>
    <w:tmpl w:val="C416320E"/>
    <w:lvl w:ilvl="0" w:tplc="0F0C9C7C">
      <w:start w:val="1"/>
      <w:numFmt w:val="bullet"/>
      <w:lvlText w:val="-"/>
      <w:lvlJc w:val="left"/>
      <w:pPr>
        <w:ind w:left="720" w:hanging="360"/>
      </w:pPr>
      <w:rPr>
        <w:rFonts w:ascii="Arial" w:hAnsi="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2A5DDA"/>
    <w:multiLevelType w:val="hybridMultilevel"/>
    <w:tmpl w:val="B98A6F3C"/>
    <w:lvl w:ilvl="0" w:tplc="FFFFFFFF">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5E01E2"/>
    <w:multiLevelType w:val="hybridMultilevel"/>
    <w:tmpl w:val="F900335E"/>
    <w:lvl w:ilvl="0" w:tplc="1388CA78">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DC360E"/>
    <w:multiLevelType w:val="hybridMultilevel"/>
    <w:tmpl w:val="B98A6F3C"/>
    <w:lvl w:ilvl="0" w:tplc="7506C12E">
      <w:start w:val="1"/>
      <w:numFmt w:val="upperRoman"/>
      <w:lvlText w:val="%1."/>
      <w:lvlJc w:val="left"/>
      <w:pPr>
        <w:ind w:left="1080" w:hanging="72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39B1047"/>
    <w:multiLevelType w:val="multilevel"/>
    <w:tmpl w:val="674E90D0"/>
    <w:lvl w:ilvl="0">
      <w:start w:val="2"/>
      <w:numFmt w:val="decimal"/>
      <w:lvlText w:val="%1."/>
      <w:lvlJc w:val="left"/>
      <w:pPr>
        <w:ind w:left="400" w:hanging="4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74925354"/>
    <w:multiLevelType w:val="hybridMultilevel"/>
    <w:tmpl w:val="E78EDC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916161"/>
    <w:multiLevelType w:val="hybridMultilevel"/>
    <w:tmpl w:val="46685B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77507CD4"/>
    <w:multiLevelType w:val="hybridMultilevel"/>
    <w:tmpl w:val="3CD0761A"/>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850368420">
    <w:abstractNumId w:val="13"/>
  </w:num>
  <w:num w:numId="2" w16cid:durableId="1600522267">
    <w:abstractNumId w:val="5"/>
  </w:num>
  <w:num w:numId="3" w16cid:durableId="1973976331">
    <w:abstractNumId w:val="5"/>
  </w:num>
  <w:num w:numId="4" w16cid:durableId="754596851">
    <w:abstractNumId w:val="1"/>
  </w:num>
  <w:num w:numId="5" w16cid:durableId="2025784219">
    <w:abstractNumId w:val="9"/>
  </w:num>
  <w:num w:numId="6" w16cid:durableId="412316789">
    <w:abstractNumId w:val="10"/>
  </w:num>
  <w:num w:numId="7" w16cid:durableId="646280917">
    <w:abstractNumId w:val="14"/>
  </w:num>
  <w:num w:numId="8" w16cid:durableId="407188729">
    <w:abstractNumId w:val="11"/>
  </w:num>
  <w:num w:numId="9" w16cid:durableId="225650044">
    <w:abstractNumId w:val="0"/>
  </w:num>
  <w:num w:numId="10" w16cid:durableId="980885114">
    <w:abstractNumId w:val="8"/>
  </w:num>
  <w:num w:numId="11" w16cid:durableId="153380620">
    <w:abstractNumId w:val="2"/>
  </w:num>
  <w:num w:numId="12" w16cid:durableId="1501894789">
    <w:abstractNumId w:val="3"/>
  </w:num>
  <w:num w:numId="13" w16cid:durableId="1324504843">
    <w:abstractNumId w:val="6"/>
  </w:num>
  <w:num w:numId="14" w16cid:durableId="112747030">
    <w:abstractNumId w:val="4"/>
  </w:num>
  <w:num w:numId="15" w16cid:durableId="435296791">
    <w:abstractNumId w:val="12"/>
  </w:num>
  <w:num w:numId="16" w16cid:durableId="6914199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84"/>
    <w:rsid w:val="0000359E"/>
    <w:rsid w:val="00003F37"/>
    <w:rsid w:val="00004133"/>
    <w:rsid w:val="00004FF6"/>
    <w:rsid w:val="00014EB7"/>
    <w:rsid w:val="0001652C"/>
    <w:rsid w:val="00016633"/>
    <w:rsid w:val="000346B7"/>
    <w:rsid w:val="000372E7"/>
    <w:rsid w:val="00045B34"/>
    <w:rsid w:val="000477A0"/>
    <w:rsid w:val="000517D9"/>
    <w:rsid w:val="000526B7"/>
    <w:rsid w:val="00056605"/>
    <w:rsid w:val="00062D67"/>
    <w:rsid w:val="000644E1"/>
    <w:rsid w:val="00072C03"/>
    <w:rsid w:val="00075A73"/>
    <w:rsid w:val="00076338"/>
    <w:rsid w:val="000773A9"/>
    <w:rsid w:val="00081A4B"/>
    <w:rsid w:val="00090197"/>
    <w:rsid w:val="00096A2B"/>
    <w:rsid w:val="00096EFD"/>
    <w:rsid w:val="000B7A41"/>
    <w:rsid w:val="000C224E"/>
    <w:rsid w:val="000C66E3"/>
    <w:rsid w:val="000D4222"/>
    <w:rsid w:val="000D51AF"/>
    <w:rsid w:val="000E64A2"/>
    <w:rsid w:val="000E7466"/>
    <w:rsid w:val="000E7486"/>
    <w:rsid w:val="000F1FF9"/>
    <w:rsid w:val="000F757D"/>
    <w:rsid w:val="0010164C"/>
    <w:rsid w:val="00116425"/>
    <w:rsid w:val="00116BB7"/>
    <w:rsid w:val="001178F9"/>
    <w:rsid w:val="00123920"/>
    <w:rsid w:val="001256AB"/>
    <w:rsid w:val="00134C51"/>
    <w:rsid w:val="00142181"/>
    <w:rsid w:val="00144A3F"/>
    <w:rsid w:val="00144FC4"/>
    <w:rsid w:val="00145597"/>
    <w:rsid w:val="00147D9B"/>
    <w:rsid w:val="00150F7A"/>
    <w:rsid w:val="001536AA"/>
    <w:rsid w:val="00153F91"/>
    <w:rsid w:val="00155124"/>
    <w:rsid w:val="00155629"/>
    <w:rsid w:val="001573EC"/>
    <w:rsid w:val="0016023B"/>
    <w:rsid w:val="00161F55"/>
    <w:rsid w:val="0016331E"/>
    <w:rsid w:val="00163BAD"/>
    <w:rsid w:val="001723E4"/>
    <w:rsid w:val="00172957"/>
    <w:rsid w:val="00172B7E"/>
    <w:rsid w:val="001737DD"/>
    <w:rsid w:val="001814E0"/>
    <w:rsid w:val="00181A0D"/>
    <w:rsid w:val="0019731D"/>
    <w:rsid w:val="001A710E"/>
    <w:rsid w:val="001B1518"/>
    <w:rsid w:val="001D2060"/>
    <w:rsid w:val="001D2121"/>
    <w:rsid w:val="001D5BC7"/>
    <w:rsid w:val="001E2E05"/>
    <w:rsid w:val="001E3549"/>
    <w:rsid w:val="001E546B"/>
    <w:rsid w:val="001E7EB5"/>
    <w:rsid w:val="001F1184"/>
    <w:rsid w:val="001F1CBF"/>
    <w:rsid w:val="001F5D53"/>
    <w:rsid w:val="00201725"/>
    <w:rsid w:val="00204855"/>
    <w:rsid w:val="00205793"/>
    <w:rsid w:val="00211C03"/>
    <w:rsid w:val="00212B42"/>
    <w:rsid w:val="00214960"/>
    <w:rsid w:val="00215EF5"/>
    <w:rsid w:val="00216BCF"/>
    <w:rsid w:val="00216FDD"/>
    <w:rsid w:val="002271BB"/>
    <w:rsid w:val="002308ED"/>
    <w:rsid w:val="00237363"/>
    <w:rsid w:val="002413C7"/>
    <w:rsid w:val="00243BFE"/>
    <w:rsid w:val="00247F3A"/>
    <w:rsid w:val="00253C61"/>
    <w:rsid w:val="0026369F"/>
    <w:rsid w:val="002653A6"/>
    <w:rsid w:val="002811EA"/>
    <w:rsid w:val="002828C5"/>
    <w:rsid w:val="002A1B09"/>
    <w:rsid w:val="002A660E"/>
    <w:rsid w:val="002B1D23"/>
    <w:rsid w:val="002B52BF"/>
    <w:rsid w:val="002B52CF"/>
    <w:rsid w:val="002D3338"/>
    <w:rsid w:val="002D5F83"/>
    <w:rsid w:val="002E18E0"/>
    <w:rsid w:val="002E72B2"/>
    <w:rsid w:val="002E7347"/>
    <w:rsid w:val="002F57C0"/>
    <w:rsid w:val="002F7506"/>
    <w:rsid w:val="0031619C"/>
    <w:rsid w:val="0032212B"/>
    <w:rsid w:val="0032323B"/>
    <w:rsid w:val="0032490E"/>
    <w:rsid w:val="00333005"/>
    <w:rsid w:val="0033516C"/>
    <w:rsid w:val="00336848"/>
    <w:rsid w:val="00350107"/>
    <w:rsid w:val="00351A67"/>
    <w:rsid w:val="0036320D"/>
    <w:rsid w:val="00363534"/>
    <w:rsid w:val="003663C7"/>
    <w:rsid w:val="00367DB5"/>
    <w:rsid w:val="00372206"/>
    <w:rsid w:val="003769A5"/>
    <w:rsid w:val="00381611"/>
    <w:rsid w:val="00381E77"/>
    <w:rsid w:val="00386AEB"/>
    <w:rsid w:val="00386B84"/>
    <w:rsid w:val="003912C6"/>
    <w:rsid w:val="0039296B"/>
    <w:rsid w:val="00396591"/>
    <w:rsid w:val="00397277"/>
    <w:rsid w:val="003B20E9"/>
    <w:rsid w:val="003B6456"/>
    <w:rsid w:val="003C1F9B"/>
    <w:rsid w:val="003C51B2"/>
    <w:rsid w:val="003C5EDF"/>
    <w:rsid w:val="003D31F8"/>
    <w:rsid w:val="003D51AA"/>
    <w:rsid w:val="003E040A"/>
    <w:rsid w:val="003F7CA1"/>
    <w:rsid w:val="00400A69"/>
    <w:rsid w:val="00401C67"/>
    <w:rsid w:val="00411AC9"/>
    <w:rsid w:val="0041500A"/>
    <w:rsid w:val="004266F7"/>
    <w:rsid w:val="004272B4"/>
    <w:rsid w:val="004369C7"/>
    <w:rsid w:val="004417A6"/>
    <w:rsid w:val="00443AE7"/>
    <w:rsid w:val="00443CE1"/>
    <w:rsid w:val="00455F5E"/>
    <w:rsid w:val="00460A9F"/>
    <w:rsid w:val="004735C6"/>
    <w:rsid w:val="00475991"/>
    <w:rsid w:val="004812DC"/>
    <w:rsid w:val="004815F9"/>
    <w:rsid w:val="00486CC4"/>
    <w:rsid w:val="00487009"/>
    <w:rsid w:val="004879A4"/>
    <w:rsid w:val="00490F66"/>
    <w:rsid w:val="00491784"/>
    <w:rsid w:val="00496180"/>
    <w:rsid w:val="004A5B24"/>
    <w:rsid w:val="004A5BD7"/>
    <w:rsid w:val="004A7446"/>
    <w:rsid w:val="004B113A"/>
    <w:rsid w:val="004B272C"/>
    <w:rsid w:val="004B40F7"/>
    <w:rsid w:val="004D29E6"/>
    <w:rsid w:val="004D55A7"/>
    <w:rsid w:val="004F648B"/>
    <w:rsid w:val="004F7111"/>
    <w:rsid w:val="004F7163"/>
    <w:rsid w:val="00504D46"/>
    <w:rsid w:val="00510FB0"/>
    <w:rsid w:val="00511461"/>
    <w:rsid w:val="00517701"/>
    <w:rsid w:val="00527D90"/>
    <w:rsid w:val="00532FB8"/>
    <w:rsid w:val="005401C4"/>
    <w:rsid w:val="005406A6"/>
    <w:rsid w:val="0055140A"/>
    <w:rsid w:val="0055219D"/>
    <w:rsid w:val="00553B6B"/>
    <w:rsid w:val="00557E3D"/>
    <w:rsid w:val="00562788"/>
    <w:rsid w:val="00566EF8"/>
    <w:rsid w:val="0057243A"/>
    <w:rsid w:val="00572980"/>
    <w:rsid w:val="00574357"/>
    <w:rsid w:val="00575ACC"/>
    <w:rsid w:val="00576D38"/>
    <w:rsid w:val="00581D50"/>
    <w:rsid w:val="00583EB0"/>
    <w:rsid w:val="0058459E"/>
    <w:rsid w:val="00593A75"/>
    <w:rsid w:val="005A0870"/>
    <w:rsid w:val="005A1409"/>
    <w:rsid w:val="005A1BD4"/>
    <w:rsid w:val="005A5615"/>
    <w:rsid w:val="005B2C03"/>
    <w:rsid w:val="005B7AE2"/>
    <w:rsid w:val="005C21C0"/>
    <w:rsid w:val="005C3589"/>
    <w:rsid w:val="005C74E8"/>
    <w:rsid w:val="005D0342"/>
    <w:rsid w:val="005E3E00"/>
    <w:rsid w:val="005E4648"/>
    <w:rsid w:val="005F4AF2"/>
    <w:rsid w:val="005F5566"/>
    <w:rsid w:val="006038AE"/>
    <w:rsid w:val="00621541"/>
    <w:rsid w:val="00626AC5"/>
    <w:rsid w:val="006353E6"/>
    <w:rsid w:val="00636E1F"/>
    <w:rsid w:val="00653FBD"/>
    <w:rsid w:val="00654567"/>
    <w:rsid w:val="00654D3A"/>
    <w:rsid w:val="00657F58"/>
    <w:rsid w:val="00661FE2"/>
    <w:rsid w:val="00667C2A"/>
    <w:rsid w:val="00671BE0"/>
    <w:rsid w:val="0068642C"/>
    <w:rsid w:val="00692095"/>
    <w:rsid w:val="006935AF"/>
    <w:rsid w:val="00694B1A"/>
    <w:rsid w:val="006962AB"/>
    <w:rsid w:val="006A16DC"/>
    <w:rsid w:val="006A19CF"/>
    <w:rsid w:val="006A2467"/>
    <w:rsid w:val="006A5D31"/>
    <w:rsid w:val="006A6BE4"/>
    <w:rsid w:val="006C1AAE"/>
    <w:rsid w:val="006D034F"/>
    <w:rsid w:val="006D0C7F"/>
    <w:rsid w:val="006D189F"/>
    <w:rsid w:val="006D2408"/>
    <w:rsid w:val="006D4D19"/>
    <w:rsid w:val="006E69B3"/>
    <w:rsid w:val="006F0EEE"/>
    <w:rsid w:val="006F2122"/>
    <w:rsid w:val="006F3CDD"/>
    <w:rsid w:val="006F4C1C"/>
    <w:rsid w:val="006F5275"/>
    <w:rsid w:val="0070550B"/>
    <w:rsid w:val="00714038"/>
    <w:rsid w:val="00720B53"/>
    <w:rsid w:val="0072206D"/>
    <w:rsid w:val="00722165"/>
    <w:rsid w:val="00722591"/>
    <w:rsid w:val="00726C0B"/>
    <w:rsid w:val="007329CF"/>
    <w:rsid w:val="00735357"/>
    <w:rsid w:val="00737FAC"/>
    <w:rsid w:val="00741649"/>
    <w:rsid w:val="00750004"/>
    <w:rsid w:val="007518C2"/>
    <w:rsid w:val="00753ECC"/>
    <w:rsid w:val="00764E96"/>
    <w:rsid w:val="00765B20"/>
    <w:rsid w:val="007752CA"/>
    <w:rsid w:val="0077615C"/>
    <w:rsid w:val="007766BB"/>
    <w:rsid w:val="007821B6"/>
    <w:rsid w:val="00782BAE"/>
    <w:rsid w:val="00782EB0"/>
    <w:rsid w:val="00783FFB"/>
    <w:rsid w:val="00784DDA"/>
    <w:rsid w:val="007941E9"/>
    <w:rsid w:val="00795A01"/>
    <w:rsid w:val="0079792F"/>
    <w:rsid w:val="007A059F"/>
    <w:rsid w:val="007A0D89"/>
    <w:rsid w:val="007A1AC9"/>
    <w:rsid w:val="007A25F9"/>
    <w:rsid w:val="007B37D7"/>
    <w:rsid w:val="007B63FD"/>
    <w:rsid w:val="007B7822"/>
    <w:rsid w:val="007C3AC9"/>
    <w:rsid w:val="007C4057"/>
    <w:rsid w:val="007C4EAA"/>
    <w:rsid w:val="007C5D6F"/>
    <w:rsid w:val="007C6F49"/>
    <w:rsid w:val="007D0EB5"/>
    <w:rsid w:val="007D2008"/>
    <w:rsid w:val="007E3168"/>
    <w:rsid w:val="007F15C9"/>
    <w:rsid w:val="00800532"/>
    <w:rsid w:val="00806B75"/>
    <w:rsid w:val="0081065A"/>
    <w:rsid w:val="0081260F"/>
    <w:rsid w:val="0082286B"/>
    <w:rsid w:val="008230CC"/>
    <w:rsid w:val="00823650"/>
    <w:rsid w:val="00826ED0"/>
    <w:rsid w:val="0084052C"/>
    <w:rsid w:val="00841A8F"/>
    <w:rsid w:val="00847E48"/>
    <w:rsid w:val="008511C7"/>
    <w:rsid w:val="0086700A"/>
    <w:rsid w:val="008671F1"/>
    <w:rsid w:val="008728E9"/>
    <w:rsid w:val="008749EF"/>
    <w:rsid w:val="00892E8E"/>
    <w:rsid w:val="0089337D"/>
    <w:rsid w:val="00896FBB"/>
    <w:rsid w:val="008A6C7A"/>
    <w:rsid w:val="008B363B"/>
    <w:rsid w:val="008C055F"/>
    <w:rsid w:val="008C124F"/>
    <w:rsid w:val="008C312C"/>
    <w:rsid w:val="008D6A16"/>
    <w:rsid w:val="008E1789"/>
    <w:rsid w:val="008E2D7E"/>
    <w:rsid w:val="008E5300"/>
    <w:rsid w:val="008F1DCC"/>
    <w:rsid w:val="008F20D9"/>
    <w:rsid w:val="00904DEF"/>
    <w:rsid w:val="009152A5"/>
    <w:rsid w:val="00925D9A"/>
    <w:rsid w:val="009273CA"/>
    <w:rsid w:val="00930913"/>
    <w:rsid w:val="009316F2"/>
    <w:rsid w:val="009324E7"/>
    <w:rsid w:val="00934D81"/>
    <w:rsid w:val="00943972"/>
    <w:rsid w:val="0095398F"/>
    <w:rsid w:val="00955C19"/>
    <w:rsid w:val="00956D04"/>
    <w:rsid w:val="009614C3"/>
    <w:rsid w:val="0096682A"/>
    <w:rsid w:val="00966FEA"/>
    <w:rsid w:val="00980841"/>
    <w:rsid w:val="00986B93"/>
    <w:rsid w:val="0099473F"/>
    <w:rsid w:val="00995A80"/>
    <w:rsid w:val="009A052D"/>
    <w:rsid w:val="009A0948"/>
    <w:rsid w:val="009B625E"/>
    <w:rsid w:val="009C2680"/>
    <w:rsid w:val="009C414D"/>
    <w:rsid w:val="009D00A8"/>
    <w:rsid w:val="009D051A"/>
    <w:rsid w:val="009D0CB5"/>
    <w:rsid w:val="009D655E"/>
    <w:rsid w:val="009E09FA"/>
    <w:rsid w:val="009E1B7E"/>
    <w:rsid w:val="009E2175"/>
    <w:rsid w:val="009F4A6F"/>
    <w:rsid w:val="00A024E8"/>
    <w:rsid w:val="00A05651"/>
    <w:rsid w:val="00A05FBD"/>
    <w:rsid w:val="00A14535"/>
    <w:rsid w:val="00A16194"/>
    <w:rsid w:val="00A255A6"/>
    <w:rsid w:val="00A3151B"/>
    <w:rsid w:val="00A36E9A"/>
    <w:rsid w:val="00A462B5"/>
    <w:rsid w:val="00A468A4"/>
    <w:rsid w:val="00A53753"/>
    <w:rsid w:val="00A54C54"/>
    <w:rsid w:val="00A62662"/>
    <w:rsid w:val="00A63C70"/>
    <w:rsid w:val="00A66455"/>
    <w:rsid w:val="00A71B11"/>
    <w:rsid w:val="00A76F01"/>
    <w:rsid w:val="00A810F8"/>
    <w:rsid w:val="00A8121E"/>
    <w:rsid w:val="00A845FB"/>
    <w:rsid w:val="00A908C9"/>
    <w:rsid w:val="00A93C7F"/>
    <w:rsid w:val="00A97134"/>
    <w:rsid w:val="00AA3150"/>
    <w:rsid w:val="00AA66AD"/>
    <w:rsid w:val="00AA789C"/>
    <w:rsid w:val="00AB3BF4"/>
    <w:rsid w:val="00AB602B"/>
    <w:rsid w:val="00AB7190"/>
    <w:rsid w:val="00AD49FB"/>
    <w:rsid w:val="00AD586D"/>
    <w:rsid w:val="00AE6B8B"/>
    <w:rsid w:val="00AE79BF"/>
    <w:rsid w:val="00AF2333"/>
    <w:rsid w:val="00AF4ACB"/>
    <w:rsid w:val="00AF5258"/>
    <w:rsid w:val="00B001D8"/>
    <w:rsid w:val="00B05760"/>
    <w:rsid w:val="00B061DC"/>
    <w:rsid w:val="00B06777"/>
    <w:rsid w:val="00B1202A"/>
    <w:rsid w:val="00B16C20"/>
    <w:rsid w:val="00B304A9"/>
    <w:rsid w:val="00B30BA7"/>
    <w:rsid w:val="00B3341D"/>
    <w:rsid w:val="00B34302"/>
    <w:rsid w:val="00B41472"/>
    <w:rsid w:val="00B425DE"/>
    <w:rsid w:val="00B42CB4"/>
    <w:rsid w:val="00B521D5"/>
    <w:rsid w:val="00B52B2D"/>
    <w:rsid w:val="00B54564"/>
    <w:rsid w:val="00B64471"/>
    <w:rsid w:val="00B7057B"/>
    <w:rsid w:val="00B820A6"/>
    <w:rsid w:val="00B833D6"/>
    <w:rsid w:val="00B878BA"/>
    <w:rsid w:val="00B9366D"/>
    <w:rsid w:val="00B937E1"/>
    <w:rsid w:val="00BA1CE2"/>
    <w:rsid w:val="00BA6136"/>
    <w:rsid w:val="00BA63F3"/>
    <w:rsid w:val="00BA6F36"/>
    <w:rsid w:val="00BB00B8"/>
    <w:rsid w:val="00BB0BE6"/>
    <w:rsid w:val="00BC0FDD"/>
    <w:rsid w:val="00BC25D2"/>
    <w:rsid w:val="00BC2F1E"/>
    <w:rsid w:val="00BC37B4"/>
    <w:rsid w:val="00BC397C"/>
    <w:rsid w:val="00BC5F92"/>
    <w:rsid w:val="00BD10B9"/>
    <w:rsid w:val="00BE0DB6"/>
    <w:rsid w:val="00BE244F"/>
    <w:rsid w:val="00BE2B7D"/>
    <w:rsid w:val="00BE3593"/>
    <w:rsid w:val="00BE4D68"/>
    <w:rsid w:val="00C022C7"/>
    <w:rsid w:val="00C07B25"/>
    <w:rsid w:val="00C10711"/>
    <w:rsid w:val="00C10CBA"/>
    <w:rsid w:val="00C125E7"/>
    <w:rsid w:val="00C15761"/>
    <w:rsid w:val="00C16630"/>
    <w:rsid w:val="00C23340"/>
    <w:rsid w:val="00C247F4"/>
    <w:rsid w:val="00C3500C"/>
    <w:rsid w:val="00C60FC6"/>
    <w:rsid w:val="00C707BC"/>
    <w:rsid w:val="00C8067F"/>
    <w:rsid w:val="00C82587"/>
    <w:rsid w:val="00C92DE4"/>
    <w:rsid w:val="00CA1506"/>
    <w:rsid w:val="00CA1E3A"/>
    <w:rsid w:val="00CA70AE"/>
    <w:rsid w:val="00CB557F"/>
    <w:rsid w:val="00CC4AC1"/>
    <w:rsid w:val="00CC7181"/>
    <w:rsid w:val="00CC75F8"/>
    <w:rsid w:val="00CD1559"/>
    <w:rsid w:val="00CD4B7F"/>
    <w:rsid w:val="00CD5981"/>
    <w:rsid w:val="00CF1591"/>
    <w:rsid w:val="00D04F1D"/>
    <w:rsid w:val="00D05C42"/>
    <w:rsid w:val="00D0604B"/>
    <w:rsid w:val="00D15E4E"/>
    <w:rsid w:val="00D20077"/>
    <w:rsid w:val="00D22319"/>
    <w:rsid w:val="00D266FB"/>
    <w:rsid w:val="00D27B98"/>
    <w:rsid w:val="00D507F4"/>
    <w:rsid w:val="00D52E41"/>
    <w:rsid w:val="00D56EEB"/>
    <w:rsid w:val="00D5783D"/>
    <w:rsid w:val="00D65233"/>
    <w:rsid w:val="00D67BDC"/>
    <w:rsid w:val="00D70595"/>
    <w:rsid w:val="00D74C50"/>
    <w:rsid w:val="00D808C4"/>
    <w:rsid w:val="00D902B7"/>
    <w:rsid w:val="00DA7623"/>
    <w:rsid w:val="00DB2511"/>
    <w:rsid w:val="00DB49F4"/>
    <w:rsid w:val="00DB7EE9"/>
    <w:rsid w:val="00DC0866"/>
    <w:rsid w:val="00DC2352"/>
    <w:rsid w:val="00DC302A"/>
    <w:rsid w:val="00DC3081"/>
    <w:rsid w:val="00DC71C1"/>
    <w:rsid w:val="00DD506D"/>
    <w:rsid w:val="00DD5236"/>
    <w:rsid w:val="00DD6504"/>
    <w:rsid w:val="00DD6F24"/>
    <w:rsid w:val="00DE200B"/>
    <w:rsid w:val="00DE5803"/>
    <w:rsid w:val="00DF3C7F"/>
    <w:rsid w:val="00DF7187"/>
    <w:rsid w:val="00E049B7"/>
    <w:rsid w:val="00E04AB6"/>
    <w:rsid w:val="00E0518B"/>
    <w:rsid w:val="00E14131"/>
    <w:rsid w:val="00E16FC9"/>
    <w:rsid w:val="00E17487"/>
    <w:rsid w:val="00E2242F"/>
    <w:rsid w:val="00E227BA"/>
    <w:rsid w:val="00E24F5C"/>
    <w:rsid w:val="00E276ED"/>
    <w:rsid w:val="00E347CC"/>
    <w:rsid w:val="00E35E8C"/>
    <w:rsid w:val="00E3724A"/>
    <w:rsid w:val="00E41B5A"/>
    <w:rsid w:val="00E44931"/>
    <w:rsid w:val="00E50E81"/>
    <w:rsid w:val="00E51830"/>
    <w:rsid w:val="00E51DD0"/>
    <w:rsid w:val="00E5286F"/>
    <w:rsid w:val="00E53C0B"/>
    <w:rsid w:val="00E540C8"/>
    <w:rsid w:val="00E60637"/>
    <w:rsid w:val="00E653C6"/>
    <w:rsid w:val="00E65E00"/>
    <w:rsid w:val="00E67EC6"/>
    <w:rsid w:val="00E72E10"/>
    <w:rsid w:val="00E76F57"/>
    <w:rsid w:val="00E82B80"/>
    <w:rsid w:val="00EA0F39"/>
    <w:rsid w:val="00EA7C1A"/>
    <w:rsid w:val="00EB0582"/>
    <w:rsid w:val="00EB24BB"/>
    <w:rsid w:val="00EB2E84"/>
    <w:rsid w:val="00EB30FF"/>
    <w:rsid w:val="00EC3353"/>
    <w:rsid w:val="00ED326A"/>
    <w:rsid w:val="00EF355C"/>
    <w:rsid w:val="00EF561A"/>
    <w:rsid w:val="00F05161"/>
    <w:rsid w:val="00F112BB"/>
    <w:rsid w:val="00F143D8"/>
    <w:rsid w:val="00F20C77"/>
    <w:rsid w:val="00F228B6"/>
    <w:rsid w:val="00F26F66"/>
    <w:rsid w:val="00F30891"/>
    <w:rsid w:val="00F50929"/>
    <w:rsid w:val="00F50F41"/>
    <w:rsid w:val="00F54764"/>
    <w:rsid w:val="00F54E3C"/>
    <w:rsid w:val="00F56C5E"/>
    <w:rsid w:val="00F64652"/>
    <w:rsid w:val="00F649DE"/>
    <w:rsid w:val="00F714DF"/>
    <w:rsid w:val="00F72A36"/>
    <w:rsid w:val="00F75469"/>
    <w:rsid w:val="00F807DA"/>
    <w:rsid w:val="00F84B32"/>
    <w:rsid w:val="00F85809"/>
    <w:rsid w:val="00F85B56"/>
    <w:rsid w:val="00F85F32"/>
    <w:rsid w:val="00F917B4"/>
    <w:rsid w:val="00FB2CEC"/>
    <w:rsid w:val="00FB34D0"/>
    <w:rsid w:val="00FB3948"/>
    <w:rsid w:val="00FB3CCE"/>
    <w:rsid w:val="00FC1586"/>
    <w:rsid w:val="00FC1A44"/>
    <w:rsid w:val="00FC3F9F"/>
    <w:rsid w:val="00FC678C"/>
    <w:rsid w:val="00FD263C"/>
    <w:rsid w:val="00FD4161"/>
    <w:rsid w:val="00FD5DEE"/>
    <w:rsid w:val="00FD7BCF"/>
    <w:rsid w:val="00FE2B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AA52"/>
  <w15:chartTrackingRefBased/>
  <w15:docId w15:val="{AF641D3C-D108-44F0-B4AE-479ADAC6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86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86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86B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86B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86B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86B8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86B8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86B8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86B8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6B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86B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86B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86B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86B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86B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86B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86B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86B84"/>
    <w:rPr>
      <w:rFonts w:eastAsiaTheme="majorEastAsia" w:cstheme="majorBidi"/>
      <w:color w:val="272727" w:themeColor="text1" w:themeTint="D8"/>
    </w:rPr>
  </w:style>
  <w:style w:type="paragraph" w:styleId="Titre">
    <w:name w:val="Title"/>
    <w:basedOn w:val="Normal"/>
    <w:next w:val="Normal"/>
    <w:link w:val="TitreCar"/>
    <w:uiPriority w:val="10"/>
    <w:qFormat/>
    <w:rsid w:val="00386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6B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6B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6B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6B84"/>
    <w:pPr>
      <w:spacing w:before="160"/>
      <w:jc w:val="center"/>
    </w:pPr>
    <w:rPr>
      <w:i/>
      <w:iCs/>
      <w:color w:val="404040" w:themeColor="text1" w:themeTint="BF"/>
    </w:rPr>
  </w:style>
  <w:style w:type="character" w:customStyle="1" w:styleId="CitationCar">
    <w:name w:val="Citation Car"/>
    <w:basedOn w:val="Policepardfaut"/>
    <w:link w:val="Citation"/>
    <w:uiPriority w:val="29"/>
    <w:rsid w:val="00386B84"/>
    <w:rPr>
      <w:i/>
      <w:iCs/>
      <w:color w:val="404040" w:themeColor="text1" w:themeTint="BF"/>
    </w:rPr>
  </w:style>
  <w:style w:type="paragraph" w:styleId="Paragraphedeliste">
    <w:name w:val="List Paragraph"/>
    <w:basedOn w:val="Normal"/>
    <w:link w:val="ParagraphedelisteCar"/>
    <w:qFormat/>
    <w:rsid w:val="00386B84"/>
    <w:pPr>
      <w:ind w:left="720"/>
      <w:contextualSpacing/>
    </w:pPr>
  </w:style>
  <w:style w:type="character" w:styleId="Accentuationintense">
    <w:name w:val="Intense Emphasis"/>
    <w:basedOn w:val="Policepardfaut"/>
    <w:uiPriority w:val="21"/>
    <w:qFormat/>
    <w:rsid w:val="00386B84"/>
    <w:rPr>
      <w:i/>
      <w:iCs/>
      <w:color w:val="0F4761" w:themeColor="accent1" w:themeShade="BF"/>
    </w:rPr>
  </w:style>
  <w:style w:type="paragraph" w:styleId="Citationintense">
    <w:name w:val="Intense Quote"/>
    <w:basedOn w:val="Normal"/>
    <w:next w:val="Normal"/>
    <w:link w:val="CitationintenseCar"/>
    <w:uiPriority w:val="30"/>
    <w:qFormat/>
    <w:rsid w:val="00386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86B84"/>
    <w:rPr>
      <w:i/>
      <w:iCs/>
      <w:color w:val="0F4761" w:themeColor="accent1" w:themeShade="BF"/>
    </w:rPr>
  </w:style>
  <w:style w:type="character" w:styleId="Rfrenceintense">
    <w:name w:val="Intense Reference"/>
    <w:basedOn w:val="Policepardfaut"/>
    <w:uiPriority w:val="32"/>
    <w:qFormat/>
    <w:rsid w:val="00386B84"/>
    <w:rPr>
      <w:b/>
      <w:bCs/>
      <w:smallCaps/>
      <w:color w:val="0F4761" w:themeColor="accent1" w:themeShade="BF"/>
      <w:spacing w:val="5"/>
    </w:rPr>
  </w:style>
  <w:style w:type="character" w:styleId="Lienhypertexte">
    <w:name w:val="Hyperlink"/>
    <w:basedOn w:val="Policepardfaut"/>
    <w:uiPriority w:val="99"/>
    <w:unhideWhenUsed/>
    <w:rsid w:val="00C16630"/>
    <w:rPr>
      <w:color w:val="467886" w:themeColor="hyperlink"/>
      <w:u w:val="single"/>
    </w:rPr>
  </w:style>
  <w:style w:type="character" w:styleId="Mentionnonrsolue">
    <w:name w:val="Unresolved Mention"/>
    <w:basedOn w:val="Policepardfaut"/>
    <w:uiPriority w:val="99"/>
    <w:semiHidden/>
    <w:unhideWhenUsed/>
    <w:rsid w:val="00C16630"/>
    <w:rPr>
      <w:color w:val="605E5C"/>
      <w:shd w:val="clear" w:color="auto" w:fill="E1DFDD"/>
    </w:rPr>
  </w:style>
  <w:style w:type="paragraph" w:styleId="Sansinterligne">
    <w:name w:val="No Spacing"/>
    <w:uiPriority w:val="1"/>
    <w:qFormat/>
    <w:rsid w:val="00DD5236"/>
    <w:pPr>
      <w:spacing w:after="0" w:line="240" w:lineRule="auto"/>
    </w:pPr>
  </w:style>
  <w:style w:type="character" w:styleId="Marquedecommentaire">
    <w:name w:val="annotation reference"/>
    <w:basedOn w:val="Policepardfaut"/>
    <w:uiPriority w:val="99"/>
    <w:semiHidden/>
    <w:unhideWhenUsed/>
    <w:rsid w:val="002E72B2"/>
    <w:rPr>
      <w:sz w:val="16"/>
      <w:szCs w:val="16"/>
    </w:rPr>
  </w:style>
  <w:style w:type="paragraph" w:styleId="Commentaire">
    <w:name w:val="annotation text"/>
    <w:basedOn w:val="Normal"/>
    <w:link w:val="CommentaireCar"/>
    <w:uiPriority w:val="99"/>
    <w:unhideWhenUsed/>
    <w:rsid w:val="002E72B2"/>
    <w:pPr>
      <w:spacing w:line="240" w:lineRule="auto"/>
    </w:pPr>
    <w:rPr>
      <w:sz w:val="20"/>
      <w:szCs w:val="20"/>
    </w:rPr>
  </w:style>
  <w:style w:type="character" w:customStyle="1" w:styleId="CommentaireCar">
    <w:name w:val="Commentaire Car"/>
    <w:basedOn w:val="Policepardfaut"/>
    <w:link w:val="Commentaire"/>
    <w:uiPriority w:val="99"/>
    <w:rsid w:val="002E72B2"/>
    <w:rPr>
      <w:sz w:val="20"/>
      <w:szCs w:val="20"/>
    </w:rPr>
  </w:style>
  <w:style w:type="paragraph" w:styleId="Objetducommentaire">
    <w:name w:val="annotation subject"/>
    <w:basedOn w:val="Commentaire"/>
    <w:next w:val="Commentaire"/>
    <w:link w:val="ObjetducommentaireCar"/>
    <w:uiPriority w:val="99"/>
    <w:semiHidden/>
    <w:unhideWhenUsed/>
    <w:rsid w:val="002E72B2"/>
    <w:rPr>
      <w:b/>
      <w:bCs/>
    </w:rPr>
  </w:style>
  <w:style w:type="character" w:customStyle="1" w:styleId="ObjetducommentaireCar">
    <w:name w:val="Objet du commentaire Car"/>
    <w:basedOn w:val="CommentaireCar"/>
    <w:link w:val="Objetducommentaire"/>
    <w:uiPriority w:val="99"/>
    <w:semiHidden/>
    <w:rsid w:val="002E72B2"/>
    <w:rPr>
      <w:b/>
      <w:bCs/>
      <w:sz w:val="20"/>
      <w:szCs w:val="20"/>
    </w:rPr>
  </w:style>
  <w:style w:type="table" w:styleId="Grilledutableau">
    <w:name w:val="Table Grid"/>
    <w:basedOn w:val="TableauNormal"/>
    <w:uiPriority w:val="59"/>
    <w:rsid w:val="00336848"/>
    <w:pPr>
      <w:spacing w:after="0" w:line="240" w:lineRule="auto"/>
    </w:pPr>
    <w:rPr>
      <w:rFonts w:ascii="Arial"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71B11"/>
    <w:pPr>
      <w:tabs>
        <w:tab w:val="center" w:pos="4536"/>
        <w:tab w:val="right" w:pos="9072"/>
      </w:tabs>
      <w:spacing w:after="0" w:line="240" w:lineRule="auto"/>
    </w:pPr>
  </w:style>
  <w:style w:type="character" w:customStyle="1" w:styleId="En-tteCar">
    <w:name w:val="En-tête Car"/>
    <w:basedOn w:val="Policepardfaut"/>
    <w:link w:val="En-tte"/>
    <w:uiPriority w:val="99"/>
    <w:rsid w:val="00A71B11"/>
  </w:style>
  <w:style w:type="paragraph" w:styleId="Pieddepage">
    <w:name w:val="footer"/>
    <w:basedOn w:val="Normal"/>
    <w:link w:val="PieddepageCar"/>
    <w:uiPriority w:val="99"/>
    <w:unhideWhenUsed/>
    <w:rsid w:val="00A71B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1B11"/>
  </w:style>
  <w:style w:type="paragraph" w:styleId="Rvision">
    <w:name w:val="Revision"/>
    <w:hidden/>
    <w:uiPriority w:val="99"/>
    <w:semiHidden/>
    <w:rsid w:val="00A255A6"/>
    <w:pPr>
      <w:spacing w:after="0" w:line="240" w:lineRule="auto"/>
    </w:pPr>
  </w:style>
  <w:style w:type="table" w:customStyle="1" w:styleId="TableGrid">
    <w:name w:val="TableGrid"/>
    <w:rsid w:val="00A8121E"/>
    <w:pPr>
      <w:spacing w:after="0" w:line="240" w:lineRule="auto"/>
    </w:pPr>
    <w:rPr>
      <w:rFonts w:eastAsiaTheme="minorEastAsia"/>
      <w:lang w:eastAsia="fr-FR"/>
    </w:rPr>
    <w:tblPr>
      <w:tblCellMar>
        <w:top w:w="0" w:type="dxa"/>
        <w:left w:w="0" w:type="dxa"/>
        <w:bottom w:w="0" w:type="dxa"/>
        <w:right w:w="0" w:type="dxa"/>
      </w:tblCellMar>
    </w:tblPr>
  </w:style>
  <w:style w:type="paragraph" w:styleId="Notedefin">
    <w:name w:val="endnote text"/>
    <w:basedOn w:val="Normal"/>
    <w:link w:val="NotedefinCar"/>
    <w:uiPriority w:val="99"/>
    <w:semiHidden/>
    <w:unhideWhenUsed/>
    <w:rsid w:val="007518C2"/>
    <w:pPr>
      <w:spacing w:after="0" w:line="240" w:lineRule="auto"/>
    </w:pPr>
    <w:rPr>
      <w:sz w:val="20"/>
      <w:szCs w:val="20"/>
    </w:rPr>
  </w:style>
  <w:style w:type="character" w:customStyle="1" w:styleId="NotedefinCar">
    <w:name w:val="Note de fin Car"/>
    <w:basedOn w:val="Policepardfaut"/>
    <w:link w:val="Notedefin"/>
    <w:uiPriority w:val="99"/>
    <w:semiHidden/>
    <w:rsid w:val="007518C2"/>
    <w:rPr>
      <w:sz w:val="20"/>
      <w:szCs w:val="20"/>
    </w:rPr>
  </w:style>
  <w:style w:type="character" w:styleId="Appeldenotedefin">
    <w:name w:val="endnote reference"/>
    <w:basedOn w:val="Policepardfaut"/>
    <w:uiPriority w:val="99"/>
    <w:semiHidden/>
    <w:unhideWhenUsed/>
    <w:rsid w:val="007518C2"/>
    <w:rPr>
      <w:vertAlign w:val="superscript"/>
    </w:rPr>
  </w:style>
  <w:style w:type="paragraph" w:styleId="Notedebasdepage">
    <w:name w:val="footnote text"/>
    <w:basedOn w:val="Normal"/>
    <w:link w:val="NotedebasdepageCar"/>
    <w:uiPriority w:val="99"/>
    <w:semiHidden/>
    <w:unhideWhenUsed/>
    <w:rsid w:val="0014218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42181"/>
    <w:rPr>
      <w:sz w:val="20"/>
      <w:szCs w:val="20"/>
    </w:rPr>
  </w:style>
  <w:style w:type="character" w:styleId="Appelnotedebasdep">
    <w:name w:val="footnote reference"/>
    <w:basedOn w:val="Policepardfaut"/>
    <w:uiPriority w:val="99"/>
    <w:semiHidden/>
    <w:unhideWhenUsed/>
    <w:rsid w:val="00142181"/>
    <w:rPr>
      <w:vertAlign w:val="superscript"/>
    </w:rPr>
  </w:style>
  <w:style w:type="paragraph" w:styleId="Textedebulles">
    <w:name w:val="Balloon Text"/>
    <w:basedOn w:val="Normal"/>
    <w:link w:val="TextedebullesCar"/>
    <w:uiPriority w:val="99"/>
    <w:semiHidden/>
    <w:unhideWhenUsed/>
    <w:rsid w:val="004417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417A6"/>
    <w:rPr>
      <w:rFonts w:ascii="Segoe UI" w:hAnsi="Segoe UI" w:cs="Segoe UI"/>
      <w:sz w:val="18"/>
      <w:szCs w:val="18"/>
    </w:rPr>
  </w:style>
  <w:style w:type="paragraph" w:customStyle="1" w:styleId="Default">
    <w:name w:val="Default"/>
    <w:rsid w:val="00E76F57"/>
    <w:pPr>
      <w:autoSpaceDE w:val="0"/>
      <w:autoSpaceDN w:val="0"/>
      <w:adjustRightInd w:val="0"/>
      <w:spacing w:after="0" w:line="240" w:lineRule="auto"/>
    </w:pPr>
    <w:rPr>
      <w:rFonts w:ascii="Calibri" w:hAnsi="Calibri" w:cs="Calibri"/>
      <w:color w:val="000000"/>
      <w:kern w:val="0"/>
    </w:rPr>
  </w:style>
  <w:style w:type="character" w:customStyle="1" w:styleId="ParagraphedelisteCar">
    <w:name w:val="Paragraphe de liste Car"/>
    <w:basedOn w:val="Policepardfaut"/>
    <w:link w:val="Paragraphedeliste"/>
    <w:rsid w:val="00BC0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5851">
      <w:bodyDiv w:val="1"/>
      <w:marLeft w:val="0"/>
      <w:marRight w:val="0"/>
      <w:marTop w:val="0"/>
      <w:marBottom w:val="0"/>
      <w:divBdr>
        <w:top w:val="none" w:sz="0" w:space="0" w:color="auto"/>
        <w:left w:val="none" w:sz="0" w:space="0" w:color="auto"/>
        <w:bottom w:val="none" w:sz="0" w:space="0" w:color="auto"/>
        <w:right w:val="none" w:sz="0" w:space="0" w:color="auto"/>
      </w:divBdr>
    </w:div>
    <w:div w:id="277875548">
      <w:bodyDiv w:val="1"/>
      <w:marLeft w:val="0"/>
      <w:marRight w:val="0"/>
      <w:marTop w:val="0"/>
      <w:marBottom w:val="0"/>
      <w:divBdr>
        <w:top w:val="none" w:sz="0" w:space="0" w:color="auto"/>
        <w:left w:val="none" w:sz="0" w:space="0" w:color="auto"/>
        <w:bottom w:val="none" w:sz="0" w:space="0" w:color="auto"/>
        <w:right w:val="none" w:sz="0" w:space="0" w:color="auto"/>
      </w:divBdr>
    </w:div>
    <w:div w:id="291445446">
      <w:bodyDiv w:val="1"/>
      <w:marLeft w:val="0"/>
      <w:marRight w:val="0"/>
      <w:marTop w:val="0"/>
      <w:marBottom w:val="0"/>
      <w:divBdr>
        <w:top w:val="none" w:sz="0" w:space="0" w:color="auto"/>
        <w:left w:val="none" w:sz="0" w:space="0" w:color="auto"/>
        <w:bottom w:val="none" w:sz="0" w:space="0" w:color="auto"/>
        <w:right w:val="none" w:sz="0" w:space="0" w:color="auto"/>
      </w:divBdr>
    </w:div>
    <w:div w:id="378627105">
      <w:bodyDiv w:val="1"/>
      <w:marLeft w:val="0"/>
      <w:marRight w:val="0"/>
      <w:marTop w:val="0"/>
      <w:marBottom w:val="0"/>
      <w:divBdr>
        <w:top w:val="none" w:sz="0" w:space="0" w:color="auto"/>
        <w:left w:val="none" w:sz="0" w:space="0" w:color="auto"/>
        <w:bottom w:val="none" w:sz="0" w:space="0" w:color="auto"/>
        <w:right w:val="none" w:sz="0" w:space="0" w:color="auto"/>
      </w:divBdr>
      <w:divsChild>
        <w:div w:id="1747993058">
          <w:marLeft w:val="0"/>
          <w:marRight w:val="0"/>
          <w:marTop w:val="225"/>
          <w:marBottom w:val="0"/>
          <w:divBdr>
            <w:top w:val="none" w:sz="0" w:space="0" w:color="D1D1D1"/>
            <w:left w:val="none" w:sz="0" w:space="0" w:color="D1D1D1"/>
            <w:bottom w:val="none" w:sz="0" w:space="0" w:color="D1D1D1"/>
            <w:right w:val="none" w:sz="0" w:space="0" w:color="D1D1D1"/>
          </w:divBdr>
        </w:div>
      </w:divsChild>
    </w:div>
    <w:div w:id="513497935">
      <w:bodyDiv w:val="1"/>
      <w:marLeft w:val="0"/>
      <w:marRight w:val="0"/>
      <w:marTop w:val="0"/>
      <w:marBottom w:val="0"/>
      <w:divBdr>
        <w:top w:val="none" w:sz="0" w:space="0" w:color="auto"/>
        <w:left w:val="none" w:sz="0" w:space="0" w:color="auto"/>
        <w:bottom w:val="none" w:sz="0" w:space="0" w:color="auto"/>
        <w:right w:val="none" w:sz="0" w:space="0" w:color="auto"/>
      </w:divBdr>
    </w:div>
    <w:div w:id="592857342">
      <w:bodyDiv w:val="1"/>
      <w:marLeft w:val="0"/>
      <w:marRight w:val="0"/>
      <w:marTop w:val="0"/>
      <w:marBottom w:val="0"/>
      <w:divBdr>
        <w:top w:val="none" w:sz="0" w:space="0" w:color="auto"/>
        <w:left w:val="none" w:sz="0" w:space="0" w:color="auto"/>
        <w:bottom w:val="none" w:sz="0" w:space="0" w:color="auto"/>
        <w:right w:val="none" w:sz="0" w:space="0" w:color="auto"/>
      </w:divBdr>
      <w:divsChild>
        <w:div w:id="1075013036">
          <w:marLeft w:val="0"/>
          <w:marRight w:val="0"/>
          <w:marTop w:val="225"/>
          <w:marBottom w:val="0"/>
          <w:divBdr>
            <w:top w:val="none" w:sz="0" w:space="0" w:color="D1D1D1"/>
            <w:left w:val="none" w:sz="0" w:space="0" w:color="D1D1D1"/>
            <w:bottom w:val="none" w:sz="0" w:space="0" w:color="D1D1D1"/>
            <w:right w:val="none" w:sz="0" w:space="0" w:color="D1D1D1"/>
          </w:divBdr>
        </w:div>
      </w:divsChild>
    </w:div>
    <w:div w:id="627858721">
      <w:bodyDiv w:val="1"/>
      <w:marLeft w:val="0"/>
      <w:marRight w:val="0"/>
      <w:marTop w:val="0"/>
      <w:marBottom w:val="0"/>
      <w:divBdr>
        <w:top w:val="none" w:sz="0" w:space="0" w:color="auto"/>
        <w:left w:val="none" w:sz="0" w:space="0" w:color="auto"/>
        <w:bottom w:val="none" w:sz="0" w:space="0" w:color="auto"/>
        <w:right w:val="none" w:sz="0" w:space="0" w:color="auto"/>
      </w:divBdr>
    </w:div>
    <w:div w:id="885028953">
      <w:bodyDiv w:val="1"/>
      <w:marLeft w:val="0"/>
      <w:marRight w:val="0"/>
      <w:marTop w:val="0"/>
      <w:marBottom w:val="0"/>
      <w:divBdr>
        <w:top w:val="none" w:sz="0" w:space="0" w:color="auto"/>
        <w:left w:val="none" w:sz="0" w:space="0" w:color="auto"/>
        <w:bottom w:val="none" w:sz="0" w:space="0" w:color="auto"/>
        <w:right w:val="none" w:sz="0" w:space="0" w:color="auto"/>
      </w:divBdr>
    </w:div>
    <w:div w:id="1787503399">
      <w:bodyDiv w:val="1"/>
      <w:marLeft w:val="0"/>
      <w:marRight w:val="0"/>
      <w:marTop w:val="0"/>
      <w:marBottom w:val="0"/>
      <w:divBdr>
        <w:top w:val="none" w:sz="0" w:space="0" w:color="auto"/>
        <w:left w:val="none" w:sz="0" w:space="0" w:color="auto"/>
        <w:bottom w:val="none" w:sz="0" w:space="0" w:color="auto"/>
        <w:right w:val="none" w:sz="0" w:space="0" w:color="auto"/>
      </w:divBdr>
    </w:div>
    <w:div w:id="2008554524">
      <w:bodyDiv w:val="1"/>
      <w:marLeft w:val="0"/>
      <w:marRight w:val="0"/>
      <w:marTop w:val="0"/>
      <w:marBottom w:val="0"/>
      <w:divBdr>
        <w:top w:val="none" w:sz="0" w:space="0" w:color="auto"/>
        <w:left w:val="none" w:sz="0" w:space="0" w:color="auto"/>
        <w:bottom w:val="none" w:sz="0" w:space="0" w:color="auto"/>
        <w:right w:val="none" w:sz="0" w:space="0" w:color="auto"/>
      </w:divBdr>
    </w:div>
    <w:div w:id="2048870864">
      <w:bodyDiv w:val="1"/>
      <w:marLeft w:val="0"/>
      <w:marRight w:val="0"/>
      <w:marTop w:val="0"/>
      <w:marBottom w:val="0"/>
      <w:divBdr>
        <w:top w:val="none" w:sz="0" w:space="0" w:color="auto"/>
        <w:left w:val="none" w:sz="0" w:space="0" w:color="auto"/>
        <w:bottom w:val="none" w:sz="0" w:space="0" w:color="auto"/>
        <w:right w:val="none" w:sz="0" w:space="0" w:color="auto"/>
      </w:divBdr>
    </w:div>
    <w:div w:id="210314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ternational@cti-commission.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ffe-cti@education.gouv.fr" TargetMode="External"/><Relationship Id="rId17" Type="http://schemas.openxmlformats.org/officeDocument/2006/relationships/hyperlink" Target="mailto:international@cti-commission.fr" TargetMode="External"/><Relationship Id="rId2" Type="http://schemas.openxmlformats.org/officeDocument/2006/relationships/customXml" Target="../customXml/item2.xml"/><Relationship Id="rId16" Type="http://schemas.openxmlformats.org/officeDocument/2006/relationships/hyperlink" Target="mailto:greffe-cti@education.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ti-commission.fr/documents-de-reference/references-internationales/eafs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i-commission.fr/documents-de-reference/references-internationales/eafs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ti-commission.fr/wp-content/uploads/2023/06/EURACE_EAFSG-VF_2015.pdf" TargetMode="External"/><Relationship Id="rId1" Type="http://schemas.openxmlformats.org/officeDocument/2006/relationships/hyperlink" Target="https://www.cti-commission.fr/wp-content/uploads/2022/12/EAFSG_ENAEE_2021_E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2083B137FBD24598114647468706A2" ma:contentTypeVersion="15" ma:contentTypeDescription="Crée un document." ma:contentTypeScope="" ma:versionID="9a7679eea669430b841ca4fdd07ecc8f">
  <xsd:schema xmlns:xsd="http://www.w3.org/2001/XMLSchema" xmlns:xs="http://www.w3.org/2001/XMLSchema" xmlns:p="http://schemas.microsoft.com/office/2006/metadata/properties" xmlns:ns2="c7e1beeb-1d9c-4108-8889-96a626fe60d7" xmlns:ns3="cf257d6e-a2c2-4920-9af5-12e475bf16ab" targetNamespace="http://schemas.microsoft.com/office/2006/metadata/properties" ma:root="true" ma:fieldsID="9485386cdb31ba3ed4175c3140343ae6" ns2:_="" ns3:_="">
    <xsd:import namespace="c7e1beeb-1d9c-4108-8889-96a626fe60d7"/>
    <xsd:import namespace="cf257d6e-a2c2-4920-9af5-12e475bf16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1beeb-1d9c-4108-8889-96a626fe60d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95bf564-2160-4430-bbce-dc6928d6b2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57d6e-a2c2-4920-9af5-12e475bf16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9c1b54-fb91-44bf-95b4-94918c6690d1}" ma:internalName="TaxCatchAll" ma:showField="CatchAllData" ma:web="cf257d6e-a2c2-4920-9af5-12e475bf16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e1beeb-1d9c-4108-8889-96a626fe60d7">
      <Terms xmlns="http://schemas.microsoft.com/office/infopath/2007/PartnerControls"/>
    </lcf76f155ced4ddcb4097134ff3c332f>
    <TaxCatchAll xmlns="cf257d6e-a2c2-4920-9af5-12e475bf16ab" xsi:nil="true"/>
  </documentManagement>
</p:properties>
</file>

<file path=customXml/itemProps1.xml><?xml version="1.0" encoding="utf-8"?>
<ds:datastoreItem xmlns:ds="http://schemas.openxmlformats.org/officeDocument/2006/customXml" ds:itemID="{703792A5-C96E-428B-9129-3D89450A30F7}">
  <ds:schemaRefs>
    <ds:schemaRef ds:uri="http://schemas.openxmlformats.org/officeDocument/2006/bibliography"/>
  </ds:schemaRefs>
</ds:datastoreItem>
</file>

<file path=customXml/itemProps2.xml><?xml version="1.0" encoding="utf-8"?>
<ds:datastoreItem xmlns:ds="http://schemas.openxmlformats.org/officeDocument/2006/customXml" ds:itemID="{3FA535ED-8E08-4E02-8D7E-A27F5C8014C6}">
  <ds:schemaRefs>
    <ds:schemaRef ds:uri="http://schemas.microsoft.com/sharepoint/v3/contenttype/forms"/>
  </ds:schemaRefs>
</ds:datastoreItem>
</file>

<file path=customXml/itemProps3.xml><?xml version="1.0" encoding="utf-8"?>
<ds:datastoreItem xmlns:ds="http://schemas.openxmlformats.org/officeDocument/2006/customXml" ds:itemID="{9729AD35-52E3-4187-863D-3352940F3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1beeb-1d9c-4108-8889-96a626fe60d7"/>
    <ds:schemaRef ds:uri="cf257d6e-a2c2-4920-9af5-12e475bf1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9D131-7AAB-4043-A5EE-A410CB363C50}">
  <ds:schemaRefs>
    <ds:schemaRef ds:uri="http://schemas.microsoft.com/office/2006/metadata/properties"/>
    <ds:schemaRef ds:uri="http://schemas.microsoft.com/office/infopath/2007/PartnerControls"/>
    <ds:schemaRef ds:uri="c7e1beeb-1d9c-4108-8889-96a626fe60d7"/>
    <ds:schemaRef ds:uri="cf257d6e-a2c2-4920-9af5-12e475bf16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5324</Words>
  <Characters>29285</Characters>
  <Application>Microsoft Office Word</Application>
  <DocSecurity>4</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ANDRAWISS-DLAMINI</dc:creator>
  <cp:keywords/>
  <dc:description/>
  <cp:lastModifiedBy>Fanny  CHASSAIN-PICHON</cp:lastModifiedBy>
  <cp:revision>2</cp:revision>
  <dcterms:created xsi:type="dcterms:W3CDTF">2026-01-07T07:27:00Z</dcterms:created>
  <dcterms:modified xsi:type="dcterms:W3CDTF">2026-01-07T07:27:00Z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0x010100962083B137FBD24598114647468706A2</vt:lpwstr>
  </property>
  <property fmtid="{D5CDD505-2E9C-101B-9397-08002B2CF9AE}" pid="3" name="MediaServiceImageTags">
    <vt:lpwstr/>
  </property>
</Properties>
</file>